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DBC29" w14:textId="77777777" w:rsidR="00484EAA" w:rsidRDefault="00484EAA" w:rsidP="00484EAA">
      <w:pPr>
        <w:jc w:val="center"/>
        <w:rPr>
          <w:b/>
          <w:bCs/>
        </w:rPr>
      </w:pPr>
      <w:r>
        <w:rPr>
          <w:b/>
          <w:bCs/>
        </w:rPr>
        <w:t>IN THE DUBAI INTERNATIONAL FINANCIAL CENTRE</w:t>
      </w:r>
    </w:p>
    <w:p w14:paraId="62783574" w14:textId="77777777" w:rsidR="00484EAA" w:rsidRDefault="00484EAA" w:rsidP="00484EAA">
      <w:pPr>
        <w:jc w:val="center"/>
        <w:rPr>
          <w:b/>
          <w:bCs/>
        </w:rPr>
      </w:pPr>
    </w:p>
    <w:p w14:paraId="38A784B3" w14:textId="77777777" w:rsidR="00484EAA" w:rsidRDefault="00484EAA" w:rsidP="00484EAA">
      <w:pPr>
        <w:jc w:val="center"/>
        <w:rPr>
          <w:b/>
          <w:bCs/>
        </w:rPr>
      </w:pPr>
      <w:r>
        <w:rPr>
          <w:b/>
          <w:bCs/>
        </w:rPr>
        <w:t>COURTS</w:t>
      </w:r>
    </w:p>
    <w:p w14:paraId="0D9A8D8A" w14:textId="77777777" w:rsidR="00484EAA" w:rsidRDefault="00484EAA" w:rsidP="00484EAA">
      <w:pPr>
        <w:jc w:val="center"/>
        <w:rPr>
          <w:b/>
          <w:bCs/>
        </w:rPr>
      </w:pPr>
    </w:p>
    <w:p w14:paraId="7D3497AF" w14:textId="77777777" w:rsidR="00484EAA" w:rsidRPr="001C4B4E" w:rsidRDefault="00484EAA" w:rsidP="001C4B4E">
      <w:pPr>
        <w:jc w:val="center"/>
        <w:rPr>
          <w:b/>
          <w:bCs/>
        </w:rPr>
      </w:pPr>
      <w:r w:rsidRPr="00D00779">
        <w:rPr>
          <w:b/>
          <w:bCs/>
        </w:rPr>
        <w:t xml:space="preserve">PRACTICE DIRECTION NO. </w:t>
      </w:r>
      <w:r w:rsidR="00464E7B">
        <w:rPr>
          <w:b/>
          <w:bCs/>
        </w:rPr>
        <w:t>4</w:t>
      </w:r>
      <w:r w:rsidR="00B52A91" w:rsidRPr="00D00779">
        <w:rPr>
          <w:b/>
          <w:bCs/>
        </w:rPr>
        <w:t xml:space="preserve"> </w:t>
      </w:r>
      <w:r w:rsidR="001E5609" w:rsidRPr="00D00779">
        <w:rPr>
          <w:b/>
          <w:bCs/>
        </w:rPr>
        <w:t>OF 201</w:t>
      </w:r>
      <w:r w:rsidR="00DC3A3D">
        <w:rPr>
          <w:b/>
          <w:bCs/>
        </w:rPr>
        <w:t>6</w:t>
      </w:r>
      <w:r w:rsidR="00405583">
        <w:rPr>
          <w:b/>
          <w:bCs/>
        </w:rPr>
        <w:t xml:space="preserve"> </w:t>
      </w:r>
    </w:p>
    <w:p w14:paraId="65AC0963" w14:textId="77777777" w:rsidR="001C4B4E" w:rsidRDefault="001C4B4E" w:rsidP="00DC3A3D">
      <w:pPr>
        <w:spacing w:before="100" w:beforeAutospacing="1" w:after="100" w:afterAutospacing="1"/>
        <w:rPr>
          <w:b/>
        </w:rPr>
      </w:pPr>
    </w:p>
    <w:p w14:paraId="13F0FBB3" w14:textId="77777777" w:rsidR="00DC3A3D" w:rsidRPr="00DC3A3D" w:rsidRDefault="00DC3A3D" w:rsidP="00DC3A3D">
      <w:pPr>
        <w:spacing w:before="100" w:beforeAutospacing="1" w:after="100" w:afterAutospacing="1"/>
        <w:rPr>
          <w:b/>
        </w:rPr>
      </w:pPr>
      <w:r w:rsidRPr="005B55FB">
        <w:rPr>
          <w:b/>
        </w:rPr>
        <w:t xml:space="preserve">DIFC Courts </w:t>
      </w:r>
      <w:r w:rsidR="00561732" w:rsidRPr="005B55FB">
        <w:rPr>
          <w:b/>
        </w:rPr>
        <w:t>Fees Amendment – for Consultation</w:t>
      </w:r>
      <w:r w:rsidR="00561732">
        <w:rPr>
          <w:b/>
        </w:rPr>
        <w:t xml:space="preserve"> </w:t>
      </w:r>
    </w:p>
    <w:p w14:paraId="1EF4C89D" w14:textId="77777777" w:rsidR="001C4B4E" w:rsidRDefault="00484EAA" w:rsidP="00EB0B56">
      <w:pPr>
        <w:spacing w:before="100" w:beforeAutospacing="1" w:after="100" w:afterAutospacing="1"/>
        <w:jc w:val="both"/>
      </w:pPr>
      <w:r>
        <w:rPr>
          <w:b/>
          <w:bCs/>
        </w:rPr>
        <w:t>Citation</w:t>
      </w:r>
      <w:r w:rsidR="001C4B4E">
        <w:t xml:space="preserve"> </w:t>
      </w:r>
    </w:p>
    <w:p w14:paraId="2FC0E68F" w14:textId="77777777" w:rsidR="00484EAA" w:rsidRDefault="00484EAA" w:rsidP="00EB0B56">
      <w:pPr>
        <w:spacing w:before="100" w:beforeAutospacing="1" w:after="100" w:afterAutospacing="1"/>
        <w:jc w:val="both"/>
        <w:rPr>
          <w:b/>
          <w:bCs/>
        </w:rPr>
      </w:pPr>
      <w:r>
        <w:t xml:space="preserve">This Practice Direction will </w:t>
      </w:r>
      <w:r w:rsidRPr="006C3D30">
        <w:t xml:space="preserve">come into effect on the date of signature. It may be cited as </w:t>
      </w:r>
      <w:r w:rsidRPr="006C3D30">
        <w:rPr>
          <w:b/>
        </w:rPr>
        <w:t>Practice</w:t>
      </w:r>
      <w:r w:rsidRPr="006C3D30">
        <w:rPr>
          <w:b/>
          <w:bCs/>
        </w:rPr>
        <w:t xml:space="preserve"> Direction </w:t>
      </w:r>
      <w:r w:rsidR="00464E7B">
        <w:rPr>
          <w:b/>
          <w:bCs/>
        </w:rPr>
        <w:t>4</w:t>
      </w:r>
      <w:r w:rsidR="00E05C43" w:rsidRPr="006C3D30">
        <w:rPr>
          <w:b/>
          <w:bCs/>
        </w:rPr>
        <w:t xml:space="preserve"> </w:t>
      </w:r>
      <w:r w:rsidRPr="006C3D30">
        <w:rPr>
          <w:b/>
          <w:bCs/>
        </w:rPr>
        <w:t xml:space="preserve">of </w:t>
      </w:r>
      <w:r w:rsidRPr="006C3D30">
        <w:rPr>
          <w:b/>
        </w:rPr>
        <w:t>201</w:t>
      </w:r>
      <w:r w:rsidR="00DC3A3D">
        <w:rPr>
          <w:b/>
        </w:rPr>
        <w:t>6</w:t>
      </w:r>
      <w:r w:rsidRPr="006C3D30">
        <w:t xml:space="preserve"> </w:t>
      </w:r>
      <w:r w:rsidR="00857301">
        <w:t>–</w:t>
      </w:r>
      <w:r w:rsidRPr="006C3D30">
        <w:rPr>
          <w:b/>
        </w:rPr>
        <w:t xml:space="preserve"> </w:t>
      </w:r>
      <w:r w:rsidR="00561732">
        <w:rPr>
          <w:b/>
        </w:rPr>
        <w:t>DIFC Courts Fees Amendment</w:t>
      </w:r>
      <w:r w:rsidR="00DC3A3D">
        <w:rPr>
          <w:b/>
        </w:rPr>
        <w:t xml:space="preserve"> </w:t>
      </w:r>
      <w:r w:rsidRPr="00CC5F2C">
        <w:t xml:space="preserve">and may be abbreviated to </w:t>
      </w:r>
      <w:r w:rsidRPr="00CC5F2C">
        <w:rPr>
          <w:b/>
        </w:rPr>
        <w:t>P</w:t>
      </w:r>
      <w:r w:rsidRPr="00CC5F2C">
        <w:rPr>
          <w:b/>
          <w:bCs/>
        </w:rPr>
        <w:t xml:space="preserve">D </w:t>
      </w:r>
      <w:r w:rsidR="00464E7B">
        <w:rPr>
          <w:b/>
          <w:bCs/>
        </w:rPr>
        <w:t>4</w:t>
      </w:r>
      <w:r w:rsidRPr="00CC5F2C">
        <w:rPr>
          <w:b/>
          <w:bCs/>
        </w:rPr>
        <w:t>/201</w:t>
      </w:r>
      <w:r w:rsidR="00DC3A3D">
        <w:rPr>
          <w:b/>
          <w:bCs/>
        </w:rPr>
        <w:t>6</w:t>
      </w:r>
      <w:r w:rsidRPr="00CC5F2C">
        <w:rPr>
          <w:b/>
          <w:bCs/>
        </w:rPr>
        <w:t>.</w:t>
      </w:r>
      <w:r w:rsidRPr="006C3D30">
        <w:rPr>
          <w:b/>
          <w:bCs/>
        </w:rPr>
        <w:t xml:space="preserve"> </w:t>
      </w:r>
    </w:p>
    <w:p w14:paraId="1659C648" w14:textId="77777777" w:rsidR="00561732" w:rsidRDefault="00561732" w:rsidP="00EB0B56">
      <w:pPr>
        <w:spacing w:before="100" w:beforeAutospacing="1" w:after="100" w:afterAutospacing="1"/>
        <w:jc w:val="both"/>
        <w:rPr>
          <w:bCs/>
        </w:rPr>
      </w:pPr>
      <w:r w:rsidRPr="00561732">
        <w:rPr>
          <w:bCs/>
        </w:rPr>
        <w:t xml:space="preserve">1. </w:t>
      </w:r>
      <w:r w:rsidR="00D34461">
        <w:rPr>
          <w:bCs/>
        </w:rPr>
        <w:t xml:space="preserve">This Practice Direction is issued pursuant to the powers conferred on me by Article 8 (3) (a) of Dubai Law no. 9 of 2004, as amended. It will come into force from the date of signature and </w:t>
      </w:r>
      <w:r w:rsidR="00AF2ED1">
        <w:rPr>
          <w:bCs/>
        </w:rPr>
        <w:t xml:space="preserve">supersedes the former Amended Practice Direction No. 4 of 2015 – DIFC Courts’ Fees. </w:t>
      </w:r>
    </w:p>
    <w:p w14:paraId="0D1872D4" w14:textId="77777777" w:rsidR="00561732" w:rsidRPr="00AF2ED1" w:rsidRDefault="00AF2ED1" w:rsidP="00EB0B56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 xml:space="preserve">2. The attached Schedule 1 of this Practice Direction prescribes the fees of the DIFC Courts that will come into effect on the date of signature. </w:t>
      </w:r>
    </w:p>
    <w:p w14:paraId="7DF9EB1B" w14:textId="77777777" w:rsidR="00B6737A" w:rsidRDefault="00B6737A" w:rsidP="00834AE7">
      <w:pPr>
        <w:jc w:val="both"/>
      </w:pPr>
    </w:p>
    <w:p w14:paraId="77BD5E92" w14:textId="77777777" w:rsidR="00B6737A" w:rsidRDefault="00B6737A" w:rsidP="00834AE7">
      <w:pPr>
        <w:jc w:val="both"/>
      </w:pPr>
    </w:p>
    <w:p w14:paraId="36E1F94E" w14:textId="77777777" w:rsidR="00834AE7" w:rsidRDefault="00B54BE2" w:rsidP="00834AE7">
      <w:pPr>
        <w:jc w:val="both"/>
      </w:pPr>
      <w:r>
        <w:t>Dated this</w:t>
      </w:r>
      <w:r w:rsidR="00563F0B" w:rsidRPr="00933EBA">
        <w:t xml:space="preserve"> </w:t>
      </w:r>
      <w:r w:rsidR="00561732">
        <w:t>XX</w:t>
      </w:r>
      <w:r w:rsidR="00834AE7" w:rsidRPr="00933EBA">
        <w:t xml:space="preserve"> day of </w:t>
      </w:r>
      <w:r w:rsidR="00561732">
        <w:t>XX</w:t>
      </w:r>
      <w:r w:rsidR="003B735D" w:rsidRPr="00933EBA">
        <w:t xml:space="preserve"> </w:t>
      </w:r>
      <w:r w:rsidR="00834AE7" w:rsidRPr="00933EBA">
        <w:t>201</w:t>
      </w:r>
      <w:r w:rsidR="00DC3A3D">
        <w:t>6</w:t>
      </w:r>
    </w:p>
    <w:p w14:paraId="1625FF54" w14:textId="77777777" w:rsidR="00834AE7" w:rsidRDefault="00834AE7" w:rsidP="00834AE7">
      <w:pPr>
        <w:jc w:val="both"/>
        <w:rPr>
          <w:b/>
          <w:bCs/>
        </w:rPr>
      </w:pPr>
    </w:p>
    <w:p w14:paraId="4AC0F2C3" w14:textId="77777777" w:rsidR="00834AE7" w:rsidRDefault="00834AE7" w:rsidP="0045526D">
      <w:pPr>
        <w:jc w:val="both"/>
        <w:rPr>
          <w:b/>
          <w:bCs/>
        </w:rPr>
      </w:pPr>
      <w:r>
        <w:rPr>
          <w:b/>
          <w:bCs/>
        </w:rPr>
        <w:t>Chief Justice Michael Hwang</w:t>
      </w:r>
    </w:p>
    <w:p w14:paraId="672DF3FC" w14:textId="77777777" w:rsidR="00AF2ED1" w:rsidRDefault="00AF2ED1" w:rsidP="0045526D">
      <w:pPr>
        <w:jc w:val="both"/>
        <w:rPr>
          <w:b/>
          <w:bCs/>
        </w:rPr>
      </w:pPr>
    </w:p>
    <w:p w14:paraId="68F5FFE2" w14:textId="77777777" w:rsidR="00AF2ED1" w:rsidRDefault="00AF2ED1" w:rsidP="0045526D">
      <w:pPr>
        <w:jc w:val="both"/>
        <w:rPr>
          <w:b/>
          <w:bCs/>
        </w:rPr>
      </w:pPr>
    </w:p>
    <w:p w14:paraId="40666C2D" w14:textId="77777777" w:rsidR="00F25AB1" w:rsidRDefault="00F25AB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466C58F2" w14:textId="77777777" w:rsidR="00AF2ED1" w:rsidRPr="00351B5B" w:rsidRDefault="00AF2ED1" w:rsidP="00AF2ED1">
      <w:r w:rsidRPr="00351B5B">
        <w:lastRenderedPageBreak/>
        <w:t>Schedule 1</w:t>
      </w:r>
    </w:p>
    <w:p w14:paraId="459D0352" w14:textId="77777777" w:rsidR="00AF2ED1" w:rsidRPr="006C500E" w:rsidRDefault="00AF2ED1" w:rsidP="00AF2ED1">
      <w:r w:rsidRPr="00351B5B">
        <w:t>DIFC Courts’ Fees</w:t>
      </w:r>
    </w:p>
    <w:p w14:paraId="33953E9A" w14:textId="77777777" w:rsidR="00AF2ED1" w:rsidRPr="006C500E" w:rsidRDefault="00AF2ED1" w:rsidP="00AF2ED1"/>
    <w:p w14:paraId="7F8F5D4D" w14:textId="77777777" w:rsidR="00AF2ED1" w:rsidRPr="006C500E" w:rsidRDefault="00AF2ED1" w:rsidP="00AF2ED1">
      <w:pPr>
        <w:rPr>
          <w:rFonts w:eastAsiaTheme="minorHAnsi"/>
          <w:b/>
          <w:u w:val="single"/>
          <w:lang w:val="en-GB"/>
        </w:rPr>
      </w:pPr>
      <w:r w:rsidRPr="006C500E">
        <w:rPr>
          <w:rFonts w:eastAsiaTheme="minorHAnsi"/>
          <w:b/>
          <w:u w:val="single"/>
          <w:lang w:val="en-GB"/>
        </w:rPr>
        <w:t xml:space="preserve">I. Originating Proceedings – Court of First Instance (CFI) </w:t>
      </w:r>
    </w:p>
    <w:p w14:paraId="39FB5E7D" w14:textId="77777777" w:rsidR="00AF2ED1" w:rsidRPr="006C500E" w:rsidRDefault="00AF2ED1" w:rsidP="00AF2ED1">
      <w:pPr>
        <w:rPr>
          <w:rFonts w:eastAsiaTheme="minorHAnsi"/>
          <w:lang w:val="en-GB"/>
        </w:rPr>
      </w:pPr>
    </w:p>
    <w:p w14:paraId="7B64C3A3" w14:textId="22DB7B53" w:rsidR="00AF2ED1" w:rsidRPr="006C500E" w:rsidRDefault="00AF2ED1" w:rsidP="00AF2ED1">
      <w:r w:rsidRPr="006C500E">
        <w:rPr>
          <w:rFonts w:eastAsiaTheme="minorHAnsi"/>
          <w:lang w:val="en-GB"/>
        </w:rPr>
        <w:t>Part 7 claim</w:t>
      </w:r>
      <w:r w:rsidRPr="006C500E">
        <w:t xml:space="preserve"> </w:t>
      </w:r>
      <w:r w:rsidRPr="006C500E">
        <w:rPr>
          <w:rFonts w:eastAsiaTheme="minorHAnsi"/>
          <w:lang w:val="en-GB"/>
        </w:rPr>
        <w:t>(</w:t>
      </w:r>
      <w:r w:rsidR="00F25AB1">
        <w:rPr>
          <w:rFonts w:eastAsiaTheme="minorHAnsi"/>
          <w:lang w:val="en-GB"/>
        </w:rPr>
        <w:t>m</w:t>
      </w:r>
      <w:r w:rsidRPr="006C500E">
        <w:rPr>
          <w:rFonts w:eastAsiaTheme="minorHAnsi"/>
          <w:lang w:val="en-GB"/>
        </w:rPr>
        <w:t>oney and/or</w:t>
      </w:r>
      <w:r w:rsidRPr="006C500E">
        <w:t xml:space="preserve"> </w:t>
      </w:r>
      <w:r w:rsidRPr="006C500E">
        <w:rPr>
          <w:rFonts w:eastAsiaTheme="minorHAnsi"/>
          <w:lang w:val="en-GB"/>
        </w:rPr>
        <w:t>property claims):</w:t>
      </w:r>
    </w:p>
    <w:p w14:paraId="63B2496F" w14:textId="77777777" w:rsidR="00AF2ED1" w:rsidRPr="006C500E" w:rsidRDefault="00AF2ED1" w:rsidP="00AF2ED1">
      <w:pPr>
        <w:rPr>
          <w:rFonts w:eastAsia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4782"/>
      </w:tblGrid>
      <w:tr w:rsidR="00AF2ED1" w:rsidRPr="006C500E" w14:paraId="2FD2FB0F" w14:textId="77777777" w:rsidTr="003B44D2">
        <w:tc>
          <w:tcPr>
            <w:tcW w:w="4338" w:type="dxa"/>
          </w:tcPr>
          <w:p w14:paraId="49B82607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Claim Value</w:t>
            </w:r>
          </w:p>
        </w:tc>
        <w:tc>
          <w:tcPr>
            <w:tcW w:w="4904" w:type="dxa"/>
          </w:tcPr>
          <w:p w14:paraId="3897BA4D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Fee</w:t>
            </w:r>
          </w:p>
        </w:tc>
      </w:tr>
      <w:tr w:rsidR="00AF2ED1" w:rsidRPr="006C500E" w14:paraId="56A476DB" w14:textId="77777777" w:rsidTr="003B44D2">
        <w:tc>
          <w:tcPr>
            <w:tcW w:w="4338" w:type="dxa"/>
          </w:tcPr>
          <w:p w14:paraId="4BF6352E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Up to and including USD 500,000</w:t>
            </w:r>
          </w:p>
        </w:tc>
        <w:tc>
          <w:tcPr>
            <w:tcW w:w="4904" w:type="dxa"/>
          </w:tcPr>
          <w:p w14:paraId="3F631188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5% of the value of the claim and/or the property with a minimum of USD 1,500</w:t>
            </w:r>
          </w:p>
        </w:tc>
      </w:tr>
      <w:tr w:rsidR="00AF2ED1" w:rsidRPr="006C500E" w14:paraId="5BE2945E" w14:textId="77777777" w:rsidTr="003B44D2">
        <w:tc>
          <w:tcPr>
            <w:tcW w:w="4338" w:type="dxa"/>
          </w:tcPr>
          <w:p w14:paraId="7E709156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500,000 – USD 1 million</w:t>
            </w:r>
          </w:p>
        </w:tc>
        <w:tc>
          <w:tcPr>
            <w:tcW w:w="4904" w:type="dxa"/>
          </w:tcPr>
          <w:p w14:paraId="3F849205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25,000 + 1% over USD 500,000</w:t>
            </w:r>
          </w:p>
        </w:tc>
      </w:tr>
      <w:tr w:rsidR="00AF2ED1" w:rsidRPr="006C500E" w14:paraId="541DC484" w14:textId="77777777" w:rsidTr="003B44D2">
        <w:tc>
          <w:tcPr>
            <w:tcW w:w="4338" w:type="dxa"/>
          </w:tcPr>
          <w:p w14:paraId="1E62D017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1 million – USD 5 million</w:t>
            </w:r>
          </w:p>
        </w:tc>
        <w:tc>
          <w:tcPr>
            <w:tcW w:w="4904" w:type="dxa"/>
          </w:tcPr>
          <w:p w14:paraId="4FD5B216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3</w:t>
            </w:r>
            <w:r>
              <w:rPr>
                <w:rFonts w:eastAsiaTheme="minorHAnsi"/>
                <w:lang w:val="en-GB"/>
              </w:rPr>
              <w:t>0</w:t>
            </w:r>
            <w:r w:rsidRPr="006C500E">
              <w:rPr>
                <w:rFonts w:eastAsiaTheme="minorHAnsi"/>
                <w:lang w:val="en-GB"/>
              </w:rPr>
              <w:t>,000 + 0.5% over USD 1 million</w:t>
            </w:r>
          </w:p>
        </w:tc>
      </w:tr>
      <w:tr w:rsidR="00AF2ED1" w:rsidRPr="006C500E" w14:paraId="1BAC6425" w14:textId="77777777" w:rsidTr="003B44D2">
        <w:tc>
          <w:tcPr>
            <w:tcW w:w="4338" w:type="dxa"/>
          </w:tcPr>
          <w:p w14:paraId="1508E395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5 million – USD 10 million</w:t>
            </w:r>
          </w:p>
        </w:tc>
        <w:tc>
          <w:tcPr>
            <w:tcW w:w="4904" w:type="dxa"/>
          </w:tcPr>
          <w:p w14:paraId="110F86A0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5</w:t>
            </w:r>
            <w:r>
              <w:rPr>
                <w:rFonts w:eastAsiaTheme="minorHAnsi"/>
                <w:lang w:val="en-GB"/>
              </w:rPr>
              <w:t>0</w:t>
            </w:r>
            <w:r w:rsidRPr="006C500E">
              <w:rPr>
                <w:rFonts w:eastAsiaTheme="minorHAnsi"/>
                <w:lang w:val="en-GB"/>
              </w:rPr>
              <w:t>,000 + 0.4% over USD 5 million</w:t>
            </w:r>
          </w:p>
        </w:tc>
      </w:tr>
      <w:tr w:rsidR="00AF2ED1" w:rsidRPr="006C500E" w14:paraId="38050CB9" w14:textId="77777777" w:rsidTr="003B44D2">
        <w:tc>
          <w:tcPr>
            <w:tcW w:w="4338" w:type="dxa"/>
          </w:tcPr>
          <w:p w14:paraId="3F8AA5E0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10 million – USD 50 million</w:t>
            </w:r>
          </w:p>
        </w:tc>
        <w:tc>
          <w:tcPr>
            <w:tcW w:w="4904" w:type="dxa"/>
          </w:tcPr>
          <w:p w14:paraId="450A5253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7</w:t>
            </w:r>
            <w:r>
              <w:rPr>
                <w:rFonts w:eastAsiaTheme="minorHAnsi"/>
                <w:lang w:val="en-GB"/>
              </w:rPr>
              <w:t>0</w:t>
            </w:r>
            <w:r w:rsidRPr="006C500E">
              <w:rPr>
                <w:rFonts w:eastAsiaTheme="minorHAnsi"/>
                <w:lang w:val="en-GB"/>
              </w:rPr>
              <w:t>,000 + 0.15% over USD 10 million</w:t>
            </w:r>
          </w:p>
        </w:tc>
      </w:tr>
      <w:tr w:rsidR="00AF2ED1" w:rsidRPr="006C500E" w14:paraId="0854ABE5" w14:textId="77777777" w:rsidTr="003B44D2">
        <w:tc>
          <w:tcPr>
            <w:tcW w:w="4338" w:type="dxa"/>
          </w:tcPr>
          <w:p w14:paraId="34C5F57E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Over 50 million</w:t>
            </w:r>
          </w:p>
        </w:tc>
        <w:tc>
          <w:tcPr>
            <w:tcW w:w="4904" w:type="dxa"/>
          </w:tcPr>
          <w:p w14:paraId="2967A5E9" w14:textId="77777777" w:rsidR="00AF2ED1" w:rsidRPr="006C500E" w:rsidRDefault="00AF2ED1" w:rsidP="003B44D2">
            <w:pPr>
              <w:jc w:val="center"/>
              <w:rPr>
                <w:rFonts w:eastAsiaTheme="minorHAnsi"/>
                <w:lang w:val="en-GB"/>
              </w:rPr>
            </w:pPr>
            <w:r w:rsidRPr="006C500E">
              <w:rPr>
                <w:rFonts w:eastAsiaTheme="minorHAnsi"/>
                <w:lang w:val="en-GB"/>
              </w:rPr>
              <w:t>USD 13</w:t>
            </w:r>
            <w:r>
              <w:rPr>
                <w:rFonts w:eastAsiaTheme="minorHAnsi"/>
                <w:lang w:val="en-GB"/>
              </w:rPr>
              <w:t>0</w:t>
            </w:r>
            <w:r w:rsidRPr="006C500E">
              <w:rPr>
                <w:rFonts w:eastAsiaTheme="minorHAnsi"/>
                <w:lang w:val="en-GB"/>
              </w:rPr>
              <w:t>,000</w:t>
            </w:r>
          </w:p>
        </w:tc>
      </w:tr>
    </w:tbl>
    <w:p w14:paraId="33533846" w14:textId="77777777" w:rsidR="00AF2ED1" w:rsidRPr="006C500E" w:rsidRDefault="00AF2ED1" w:rsidP="00AF2ED1">
      <w:pPr>
        <w:rPr>
          <w:rFonts w:eastAsiaTheme="minorHAnsi"/>
          <w:lang w:val="en-GB"/>
        </w:rPr>
      </w:pPr>
    </w:p>
    <w:p w14:paraId="1AA2A53B" w14:textId="77777777" w:rsidR="00AF2ED1" w:rsidRPr="006C500E" w:rsidRDefault="00AF2ED1" w:rsidP="00734A6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This amount will include the hearing fees for any in-chamber meetings, one Case Management Conference,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one Pre-Trial Review and up to 3 days of trial. Any additional filings or hearings will be charged as per</w:t>
      </w:r>
      <w:r>
        <w:rPr>
          <w:rFonts w:eastAsiaTheme="minorHAnsi"/>
          <w:sz w:val="22"/>
          <w:szCs w:val="22"/>
          <w:lang w:val="en-GB"/>
        </w:rPr>
        <w:t xml:space="preserve"> Article IV below.</w:t>
      </w:r>
    </w:p>
    <w:p w14:paraId="6CA98D11" w14:textId="77777777" w:rsidR="00AF2ED1" w:rsidRPr="006C500E" w:rsidRDefault="00AF2ED1" w:rsidP="00AF2ED1">
      <w:pPr>
        <w:rPr>
          <w:rFonts w:eastAsiaTheme="minorHAnsi"/>
          <w:lang w:val="en-GB"/>
        </w:rPr>
      </w:pPr>
    </w:p>
    <w:p w14:paraId="3F95ADB3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C500E">
        <w:rPr>
          <w:rFonts w:eastAsiaTheme="minorHAnsi"/>
          <w:lang w:val="en-GB"/>
        </w:rPr>
        <w:t xml:space="preserve">All Other Claims: </w:t>
      </w:r>
    </w:p>
    <w:p w14:paraId="6C3594DA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5E9C4D74" w14:textId="7AB006BA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b/>
          <w:sz w:val="22"/>
          <w:szCs w:val="22"/>
          <w:lang w:val="en-GB"/>
        </w:rPr>
        <w:t>USD 5,000</w:t>
      </w:r>
      <w:r w:rsidRPr="006C500E">
        <w:rPr>
          <w:rFonts w:eastAsiaTheme="minorHAnsi"/>
          <w:sz w:val="22"/>
          <w:szCs w:val="22"/>
          <w:lang w:val="en-GB"/>
        </w:rPr>
        <w:t xml:space="preserve"> for non-monetary claims. </w:t>
      </w:r>
    </w:p>
    <w:p w14:paraId="2D544876" w14:textId="77777777" w:rsidR="00AF2ED1" w:rsidRPr="006C500E" w:rsidRDefault="00AF2ED1" w:rsidP="005B55FB">
      <w:pPr>
        <w:autoSpaceDE w:val="0"/>
        <w:autoSpaceDN w:val="0"/>
        <w:adjustRightInd w:val="0"/>
        <w:jc w:val="both"/>
        <w:rPr>
          <w:rFonts w:eastAsiaTheme="minorHAnsi"/>
          <w:lang w:val="en-GB"/>
        </w:rPr>
      </w:pPr>
    </w:p>
    <w:p w14:paraId="156CB13C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C500E">
        <w:rPr>
          <w:rFonts w:eastAsiaTheme="minorHAnsi"/>
          <w:lang w:val="en-GB"/>
        </w:rPr>
        <w:t xml:space="preserve">Filing Proceedings against a party or parties not named in originating proceedings: </w:t>
      </w:r>
    </w:p>
    <w:p w14:paraId="05D80086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4A98D139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b/>
          <w:lang w:val="en-GB"/>
        </w:rPr>
      </w:pPr>
      <w:r w:rsidRPr="006C500E">
        <w:rPr>
          <w:rFonts w:eastAsiaTheme="minorHAnsi"/>
          <w:b/>
          <w:lang w:val="en-GB"/>
        </w:rPr>
        <w:t>USD 500</w:t>
      </w:r>
    </w:p>
    <w:p w14:paraId="639F488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70AF490C" w14:textId="4DA90C20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C500E">
        <w:rPr>
          <w:rFonts w:eastAsiaTheme="minorHAnsi"/>
          <w:lang w:val="en-GB"/>
        </w:rPr>
        <w:t>Reimbursement</w:t>
      </w:r>
      <w:r w:rsidR="00665858">
        <w:rPr>
          <w:rFonts w:eastAsiaTheme="minorHAnsi"/>
          <w:lang w:val="en-GB"/>
        </w:rPr>
        <w:t xml:space="preserve">: </w:t>
      </w:r>
    </w:p>
    <w:p w14:paraId="0F924CEB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7A9D9B13" w14:textId="1C931A4B" w:rsidR="00AF2ED1" w:rsidRPr="00A94EA9" w:rsidRDefault="00AF2ED1" w:rsidP="00A94EA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A94EA9">
        <w:rPr>
          <w:rFonts w:eastAsiaTheme="minorHAnsi"/>
          <w:sz w:val="22"/>
          <w:szCs w:val="22"/>
          <w:lang w:val="en-GB"/>
        </w:rPr>
        <w:t>Where the parties successfully settle the claim filed in the DIFC Courts in full, the following reimbursements shall apply:</w:t>
      </w:r>
    </w:p>
    <w:p w14:paraId="0B532197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F3C50BC" w14:textId="77777777" w:rsidR="00AF2ED1" w:rsidRPr="00B61FD0" w:rsidRDefault="00AF2ED1" w:rsidP="00AF2E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For claims settled before the Case Management Conference takes place, 65% of the filing fee shall be reimbursed.</w:t>
      </w:r>
    </w:p>
    <w:p w14:paraId="17F1FC97" w14:textId="77777777" w:rsidR="00AF2ED1" w:rsidRPr="00B61FD0" w:rsidRDefault="00AF2ED1" w:rsidP="00AF2E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For claims settled between the Case Management Conference and the Pre-Trial Review, 35% of the filing fee shall be reimbursed.</w:t>
      </w:r>
    </w:p>
    <w:p w14:paraId="7FA0A147" w14:textId="69430C7A" w:rsidR="00D12428" w:rsidRDefault="00AF2ED1" w:rsidP="008B5B8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8B5B89">
        <w:rPr>
          <w:rFonts w:eastAsiaTheme="minorHAnsi"/>
          <w:sz w:val="22"/>
          <w:szCs w:val="22"/>
          <w:lang w:val="en-GB"/>
        </w:rPr>
        <w:t>For claims settled after the Pre-Trial Review has taken place, no reimbursement shall be applicable.</w:t>
      </w:r>
    </w:p>
    <w:p w14:paraId="2C91B8A4" w14:textId="77777777" w:rsidR="00636EE0" w:rsidRPr="00A94EA9" w:rsidRDefault="00636EE0" w:rsidP="00A94EA9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DF30F79" w14:textId="4E121F92" w:rsidR="00D12428" w:rsidRPr="00E53DE0" w:rsidRDefault="00665858" w:rsidP="00A94EA9">
      <w:pPr>
        <w:pStyle w:val="ListParagraph"/>
        <w:numPr>
          <w:ilvl w:val="0"/>
          <w:numId w:val="17"/>
        </w:numPr>
        <w:rPr>
          <w:rFonts w:eastAsiaTheme="minorHAnsi"/>
          <w:sz w:val="22"/>
          <w:szCs w:val="22"/>
          <w:lang w:val="en-GB"/>
        </w:rPr>
      </w:pPr>
      <w:r w:rsidRPr="00E53DE0">
        <w:rPr>
          <w:rFonts w:eastAsiaTheme="minorHAnsi"/>
          <w:sz w:val="22"/>
          <w:szCs w:val="22"/>
          <w:lang w:val="en-GB"/>
        </w:rPr>
        <w:t xml:space="preserve">For </w:t>
      </w:r>
      <w:r w:rsidR="008B5B89" w:rsidRPr="00E53DE0">
        <w:rPr>
          <w:rFonts w:eastAsiaTheme="minorHAnsi"/>
          <w:sz w:val="22"/>
          <w:szCs w:val="22"/>
          <w:lang w:val="en-GB"/>
        </w:rPr>
        <w:t>a</w:t>
      </w:r>
      <w:r w:rsidRPr="00E53DE0">
        <w:rPr>
          <w:rFonts w:eastAsiaTheme="minorHAnsi"/>
          <w:sz w:val="22"/>
          <w:szCs w:val="22"/>
          <w:lang w:val="en-GB"/>
        </w:rPr>
        <w:t xml:space="preserve">pplications to </w:t>
      </w:r>
      <w:r w:rsidR="008B5B89" w:rsidRPr="00E53DE0">
        <w:rPr>
          <w:rFonts w:eastAsiaTheme="minorHAnsi"/>
          <w:sz w:val="22"/>
          <w:szCs w:val="22"/>
          <w:lang w:val="en-GB"/>
        </w:rPr>
        <w:t xml:space="preserve">recognise and/or </w:t>
      </w:r>
      <w:r w:rsidRPr="00E53DE0">
        <w:rPr>
          <w:rFonts w:eastAsiaTheme="minorHAnsi"/>
          <w:sz w:val="22"/>
          <w:szCs w:val="22"/>
          <w:lang w:val="en-GB"/>
        </w:rPr>
        <w:t xml:space="preserve">ratify arbitral awards where the </w:t>
      </w:r>
      <w:r w:rsidR="008B5B89" w:rsidRPr="00E53DE0">
        <w:rPr>
          <w:rFonts w:eastAsiaTheme="minorHAnsi"/>
          <w:sz w:val="22"/>
          <w:szCs w:val="22"/>
          <w:lang w:val="en-GB"/>
        </w:rPr>
        <w:t>recognition and/or ratification</w:t>
      </w:r>
      <w:r w:rsidRPr="00E53DE0">
        <w:rPr>
          <w:rFonts w:eastAsiaTheme="minorHAnsi"/>
          <w:sz w:val="22"/>
          <w:szCs w:val="22"/>
          <w:lang w:val="en-GB"/>
        </w:rPr>
        <w:t xml:space="preserve"> is unopposed</w:t>
      </w:r>
      <w:r w:rsidR="00D12428" w:rsidRPr="00E53DE0">
        <w:rPr>
          <w:rFonts w:eastAsiaTheme="minorHAnsi"/>
          <w:sz w:val="22"/>
          <w:szCs w:val="22"/>
          <w:lang w:val="en-GB"/>
        </w:rPr>
        <w:t>,</w:t>
      </w:r>
      <w:r w:rsidRPr="00E53DE0">
        <w:rPr>
          <w:rFonts w:eastAsiaTheme="minorHAnsi"/>
          <w:sz w:val="22"/>
          <w:szCs w:val="22"/>
          <w:lang w:val="en-GB"/>
        </w:rPr>
        <w:t xml:space="preserve"> 50 % of the relevant fee will be reimbursed once the award is </w:t>
      </w:r>
      <w:r w:rsidR="008B5B89" w:rsidRPr="00E53DE0">
        <w:rPr>
          <w:rFonts w:eastAsiaTheme="minorHAnsi"/>
          <w:sz w:val="22"/>
          <w:szCs w:val="22"/>
          <w:lang w:val="en-GB"/>
        </w:rPr>
        <w:t xml:space="preserve">recognised and/or </w:t>
      </w:r>
      <w:r w:rsidRPr="00E53DE0">
        <w:rPr>
          <w:rFonts w:eastAsiaTheme="minorHAnsi"/>
          <w:sz w:val="22"/>
          <w:szCs w:val="22"/>
          <w:lang w:val="en-GB"/>
        </w:rPr>
        <w:t>ratified</w:t>
      </w:r>
      <w:r w:rsidR="00D12428" w:rsidRPr="00E53DE0">
        <w:rPr>
          <w:rFonts w:eastAsiaTheme="minorHAnsi"/>
          <w:sz w:val="22"/>
          <w:szCs w:val="22"/>
          <w:lang w:val="en-GB"/>
        </w:rPr>
        <w:t>;</w:t>
      </w:r>
    </w:p>
    <w:p w14:paraId="32BBD7C3" w14:textId="6AF024A5" w:rsidR="00D12428" w:rsidRPr="00E53DE0" w:rsidRDefault="00D12428" w:rsidP="00A94EA9">
      <w:pPr>
        <w:pStyle w:val="ListParagraph"/>
        <w:rPr>
          <w:rFonts w:eastAsiaTheme="minorHAnsi"/>
          <w:lang w:val="en-GB"/>
        </w:rPr>
      </w:pPr>
    </w:p>
    <w:p w14:paraId="5D819571" w14:textId="3790F942" w:rsidR="003257E9" w:rsidRPr="00E53DE0" w:rsidRDefault="00665858" w:rsidP="00A94EA9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GB"/>
        </w:rPr>
      </w:pPr>
      <w:r w:rsidRPr="00E53DE0">
        <w:rPr>
          <w:rFonts w:eastAsiaTheme="minorHAnsi"/>
          <w:sz w:val="22"/>
          <w:szCs w:val="22"/>
          <w:lang w:val="en-GB"/>
        </w:rPr>
        <w:t xml:space="preserve">For </w:t>
      </w:r>
      <w:r w:rsidR="008B5B89" w:rsidRPr="00E53DE0">
        <w:rPr>
          <w:rFonts w:eastAsiaTheme="minorHAnsi"/>
          <w:sz w:val="22"/>
          <w:szCs w:val="22"/>
          <w:lang w:val="en-GB"/>
        </w:rPr>
        <w:t>claims</w:t>
      </w:r>
      <w:r w:rsidR="003257E9" w:rsidRPr="00E53DE0">
        <w:rPr>
          <w:rFonts w:eastAsiaTheme="minorHAnsi"/>
          <w:sz w:val="22"/>
          <w:szCs w:val="22"/>
          <w:lang w:val="en-GB"/>
        </w:rPr>
        <w:t xml:space="preserve"> </w:t>
      </w:r>
      <w:r w:rsidR="008B5B89" w:rsidRPr="00E53DE0">
        <w:rPr>
          <w:rFonts w:eastAsiaTheme="minorHAnsi"/>
          <w:sz w:val="22"/>
          <w:szCs w:val="22"/>
          <w:lang w:val="en-GB"/>
        </w:rPr>
        <w:t>in which</w:t>
      </w:r>
      <w:r w:rsidR="003257E9" w:rsidRPr="00E53DE0">
        <w:rPr>
          <w:rFonts w:eastAsiaTheme="minorHAnsi"/>
          <w:sz w:val="22"/>
          <w:szCs w:val="22"/>
          <w:lang w:val="en-GB"/>
        </w:rPr>
        <w:t xml:space="preserve"> judgment </w:t>
      </w:r>
      <w:r w:rsidR="008B5B89" w:rsidRPr="00E53DE0">
        <w:rPr>
          <w:rFonts w:eastAsiaTheme="minorHAnsi"/>
          <w:sz w:val="22"/>
          <w:szCs w:val="22"/>
          <w:lang w:val="en-GB"/>
        </w:rPr>
        <w:t>is</w:t>
      </w:r>
      <w:r w:rsidR="003257E9" w:rsidRPr="00E53DE0">
        <w:rPr>
          <w:rFonts w:eastAsiaTheme="minorHAnsi"/>
          <w:sz w:val="22"/>
          <w:szCs w:val="22"/>
          <w:lang w:val="en-GB"/>
        </w:rPr>
        <w:t xml:space="preserve"> given in default of </w:t>
      </w:r>
      <w:r w:rsidR="008B5B89" w:rsidRPr="00E53DE0">
        <w:rPr>
          <w:rFonts w:eastAsiaTheme="minorHAnsi"/>
          <w:sz w:val="22"/>
          <w:szCs w:val="22"/>
          <w:lang w:val="en-GB"/>
        </w:rPr>
        <w:t xml:space="preserve">the filing of an </w:t>
      </w:r>
      <w:r w:rsidR="003257E9" w:rsidRPr="00E53DE0">
        <w:rPr>
          <w:rFonts w:eastAsiaTheme="minorHAnsi"/>
          <w:sz w:val="22"/>
          <w:szCs w:val="22"/>
          <w:lang w:val="en-GB"/>
        </w:rPr>
        <w:t>acknowledgement of service or defence</w:t>
      </w:r>
      <w:r w:rsidR="008B5B89" w:rsidRPr="00E53DE0">
        <w:rPr>
          <w:rFonts w:eastAsiaTheme="minorHAnsi"/>
          <w:sz w:val="22"/>
          <w:szCs w:val="22"/>
          <w:lang w:val="en-GB"/>
        </w:rPr>
        <w:t xml:space="preserve">, 65% of the filing fee </w:t>
      </w:r>
      <w:r w:rsidR="00D12428" w:rsidRPr="00E53DE0">
        <w:rPr>
          <w:rFonts w:eastAsiaTheme="minorHAnsi"/>
          <w:sz w:val="22"/>
          <w:szCs w:val="22"/>
          <w:lang w:val="en-GB"/>
        </w:rPr>
        <w:t>wi</w:t>
      </w:r>
      <w:r w:rsidR="008B5B89" w:rsidRPr="00E53DE0">
        <w:rPr>
          <w:rFonts w:eastAsiaTheme="minorHAnsi"/>
          <w:sz w:val="22"/>
          <w:szCs w:val="22"/>
          <w:lang w:val="en-GB"/>
        </w:rPr>
        <w:t>ll be reimbursed upon application following the expiry of</w:t>
      </w:r>
      <w:r w:rsidR="00D12428" w:rsidRPr="00E53DE0">
        <w:rPr>
          <w:rFonts w:eastAsiaTheme="minorHAnsi"/>
          <w:sz w:val="22"/>
          <w:szCs w:val="22"/>
          <w:lang w:val="en-GB"/>
        </w:rPr>
        <w:t xml:space="preserve"> </w:t>
      </w:r>
      <w:r w:rsidR="001130DC" w:rsidRPr="00E53DE0">
        <w:rPr>
          <w:rFonts w:eastAsiaTheme="minorHAnsi"/>
          <w:sz w:val="22"/>
          <w:szCs w:val="22"/>
          <w:lang w:val="en-GB"/>
        </w:rPr>
        <w:t xml:space="preserve">a period of </w:t>
      </w:r>
      <w:r w:rsidR="00370373" w:rsidRPr="00E53DE0">
        <w:rPr>
          <w:rFonts w:eastAsiaTheme="minorHAnsi"/>
          <w:sz w:val="22"/>
          <w:szCs w:val="22"/>
          <w:lang w:val="en-GB"/>
        </w:rPr>
        <w:t>1 month</w:t>
      </w:r>
      <w:r w:rsidR="001130DC" w:rsidRPr="00E53DE0">
        <w:rPr>
          <w:rFonts w:eastAsiaTheme="minorHAnsi"/>
          <w:sz w:val="22"/>
          <w:szCs w:val="22"/>
          <w:lang w:val="en-GB"/>
        </w:rPr>
        <w:t xml:space="preserve"> after the judgment creditor has advised the C</w:t>
      </w:r>
      <w:r w:rsidR="00370373" w:rsidRPr="00E53DE0">
        <w:rPr>
          <w:rFonts w:eastAsiaTheme="minorHAnsi"/>
          <w:sz w:val="22"/>
          <w:szCs w:val="22"/>
          <w:lang w:val="en-GB"/>
        </w:rPr>
        <w:t>ourt that the judgment debtor has been made</w:t>
      </w:r>
      <w:r w:rsidR="001130DC" w:rsidRPr="00E53DE0">
        <w:rPr>
          <w:rFonts w:eastAsiaTheme="minorHAnsi"/>
          <w:sz w:val="22"/>
          <w:szCs w:val="22"/>
          <w:lang w:val="en-GB"/>
        </w:rPr>
        <w:t xml:space="preserve"> aware of the default judgment. The fee will be payable again should the judgment debtor apply successfully to set aside the default judgment in question (see RDC 14.1 to 14.4)</w:t>
      </w:r>
      <w:r w:rsidR="008B5B89" w:rsidRPr="00E53DE0">
        <w:rPr>
          <w:rFonts w:eastAsiaTheme="minorHAnsi"/>
          <w:sz w:val="22"/>
          <w:szCs w:val="22"/>
          <w:lang w:val="en-GB"/>
        </w:rPr>
        <w:t>;</w:t>
      </w:r>
      <w:r w:rsidR="00F544E9" w:rsidRPr="00E53DE0">
        <w:rPr>
          <w:rFonts w:eastAsiaTheme="minorHAnsi"/>
          <w:sz w:val="22"/>
          <w:szCs w:val="22"/>
          <w:lang w:val="en-GB"/>
        </w:rPr>
        <w:t xml:space="preserve"> and</w:t>
      </w:r>
      <w:r w:rsidR="003257E9" w:rsidRPr="00E53DE0">
        <w:rPr>
          <w:rFonts w:eastAsiaTheme="minorHAnsi"/>
          <w:sz w:val="22"/>
          <w:szCs w:val="22"/>
          <w:lang w:val="en-GB"/>
        </w:rPr>
        <w:t xml:space="preserve"> </w:t>
      </w:r>
    </w:p>
    <w:p w14:paraId="511B29FA" w14:textId="77777777" w:rsidR="00D12428" w:rsidRPr="00D12428" w:rsidRDefault="00D12428" w:rsidP="00A94EA9">
      <w:pPr>
        <w:pStyle w:val="ListParagraph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highlight w:val="yellow"/>
          <w:lang w:val="en-GB"/>
        </w:rPr>
      </w:pPr>
    </w:p>
    <w:p w14:paraId="4F4F0876" w14:textId="40155A51" w:rsidR="00665858" w:rsidRPr="00E53DE0" w:rsidRDefault="008B5B89" w:rsidP="00A94EA9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GB"/>
        </w:rPr>
      </w:pPr>
      <w:r w:rsidRPr="00E53DE0">
        <w:rPr>
          <w:rFonts w:eastAsiaTheme="minorHAnsi"/>
          <w:sz w:val="22"/>
          <w:szCs w:val="22"/>
          <w:lang w:val="en-GB"/>
        </w:rPr>
        <w:lastRenderedPageBreak/>
        <w:t>For claims</w:t>
      </w:r>
      <w:r w:rsidR="00665858" w:rsidRPr="00E53DE0">
        <w:rPr>
          <w:rFonts w:eastAsiaTheme="minorHAnsi"/>
          <w:sz w:val="22"/>
          <w:szCs w:val="22"/>
          <w:lang w:val="en-GB"/>
        </w:rPr>
        <w:t xml:space="preserve"> which are the subject of a successful immediate judgment application (even after a disputed jurisdiction hearing)</w:t>
      </w:r>
      <w:r w:rsidR="00D12428" w:rsidRPr="00E53DE0">
        <w:rPr>
          <w:rFonts w:eastAsiaTheme="minorHAnsi"/>
          <w:sz w:val="22"/>
          <w:szCs w:val="22"/>
          <w:lang w:val="en-GB"/>
        </w:rPr>
        <w:t>,</w:t>
      </w:r>
      <w:r w:rsidR="00665858" w:rsidRPr="00E53DE0">
        <w:rPr>
          <w:rFonts w:eastAsiaTheme="minorHAnsi"/>
          <w:sz w:val="22"/>
          <w:szCs w:val="22"/>
          <w:lang w:val="en-GB"/>
        </w:rPr>
        <w:t xml:space="preserve"> </w:t>
      </w:r>
      <w:r w:rsidRPr="00E53DE0">
        <w:rPr>
          <w:rFonts w:eastAsiaTheme="minorHAnsi"/>
          <w:sz w:val="22"/>
          <w:szCs w:val="22"/>
          <w:lang w:val="en-GB"/>
        </w:rPr>
        <w:t xml:space="preserve">65% of the filing fee </w:t>
      </w:r>
      <w:r w:rsidR="00D12428" w:rsidRPr="00E53DE0">
        <w:rPr>
          <w:rFonts w:eastAsiaTheme="minorHAnsi"/>
          <w:sz w:val="22"/>
          <w:szCs w:val="22"/>
          <w:lang w:val="en-GB"/>
        </w:rPr>
        <w:t>wi</w:t>
      </w:r>
      <w:r w:rsidRPr="00E53DE0">
        <w:rPr>
          <w:rFonts w:eastAsiaTheme="minorHAnsi"/>
          <w:sz w:val="22"/>
          <w:szCs w:val="22"/>
          <w:lang w:val="en-GB"/>
        </w:rPr>
        <w:t xml:space="preserve">ll be reimbursed upon application following the expiry of </w:t>
      </w:r>
      <w:r w:rsidR="00C700D0" w:rsidRPr="00E53DE0">
        <w:rPr>
          <w:rFonts w:eastAsiaTheme="minorHAnsi"/>
          <w:sz w:val="22"/>
          <w:szCs w:val="22"/>
          <w:lang w:val="en-GB"/>
        </w:rPr>
        <w:t xml:space="preserve">1 month after the judgment creditor has advised the Court that the judgment debtor has been made aware of the immediate judgment </w:t>
      </w:r>
      <w:r w:rsidR="00D12428" w:rsidRPr="00E53DE0">
        <w:rPr>
          <w:rFonts w:eastAsiaTheme="minorHAnsi"/>
          <w:sz w:val="22"/>
          <w:szCs w:val="22"/>
          <w:lang w:val="en-GB"/>
        </w:rPr>
        <w:t>[</w:t>
      </w:r>
      <w:r w:rsidR="00C700D0" w:rsidRPr="00E53DE0">
        <w:rPr>
          <w:rFonts w:eastAsiaTheme="minorHAnsi"/>
          <w:sz w:val="22"/>
          <w:szCs w:val="22"/>
          <w:lang w:val="en-GB"/>
        </w:rPr>
        <w:t xml:space="preserve">in the event that the order for immediate judgment was made against a respondent who did not appear at the hearing of the application, or after </w:t>
      </w:r>
      <w:r w:rsidRPr="00E53DE0">
        <w:rPr>
          <w:rFonts w:eastAsiaTheme="minorHAnsi"/>
          <w:sz w:val="22"/>
          <w:szCs w:val="22"/>
          <w:lang w:val="en-GB"/>
        </w:rPr>
        <w:t>the period within which the judgment debtor can apply to appeal the immediate judgment</w:t>
      </w:r>
      <w:r w:rsidR="00C700D0" w:rsidRPr="00E53DE0">
        <w:rPr>
          <w:rFonts w:eastAsiaTheme="minorHAnsi"/>
          <w:sz w:val="22"/>
          <w:szCs w:val="22"/>
          <w:lang w:val="en-GB"/>
        </w:rPr>
        <w:t>, where the respondent was present at the hearing.</w:t>
      </w:r>
      <w:r w:rsidR="00D12428" w:rsidRPr="00E53DE0">
        <w:rPr>
          <w:rFonts w:eastAsiaTheme="minorHAnsi"/>
          <w:sz w:val="22"/>
          <w:szCs w:val="22"/>
          <w:lang w:val="en-GB"/>
        </w:rPr>
        <w:t>]</w:t>
      </w:r>
      <w:r w:rsidR="00C700D0" w:rsidRPr="00E53DE0">
        <w:rPr>
          <w:rFonts w:eastAsiaTheme="minorHAnsi"/>
          <w:sz w:val="22"/>
          <w:szCs w:val="22"/>
          <w:lang w:val="en-GB"/>
        </w:rPr>
        <w:t xml:space="preserve"> </w:t>
      </w:r>
      <w:r w:rsidR="00F544E9" w:rsidRPr="00E53DE0">
        <w:rPr>
          <w:rFonts w:eastAsiaTheme="minorHAnsi"/>
          <w:sz w:val="22"/>
          <w:szCs w:val="22"/>
          <w:lang w:val="en-GB"/>
        </w:rPr>
        <w:t xml:space="preserve">. </w:t>
      </w:r>
    </w:p>
    <w:p w14:paraId="26046CBD" w14:textId="77777777" w:rsidR="00665858" w:rsidRPr="00665858" w:rsidRDefault="00665858" w:rsidP="00665858">
      <w:pPr>
        <w:autoSpaceDE w:val="0"/>
        <w:autoSpaceDN w:val="0"/>
        <w:adjustRightInd w:val="0"/>
        <w:ind w:left="360"/>
        <w:rPr>
          <w:rFonts w:eastAsiaTheme="minorHAnsi"/>
          <w:sz w:val="22"/>
          <w:szCs w:val="22"/>
          <w:lang w:val="en-GB"/>
        </w:rPr>
      </w:pPr>
    </w:p>
    <w:p w14:paraId="12CC4848" w14:textId="77777777" w:rsidR="003257E9" w:rsidRPr="005B55FB" w:rsidRDefault="003257E9" w:rsidP="005B55F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41FDBFC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EB33C64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Notes:</w:t>
      </w:r>
    </w:p>
    <w:p w14:paraId="7D208EE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 </w:t>
      </w:r>
    </w:p>
    <w:p w14:paraId="65175E87" w14:textId="77777777" w:rsidR="00AF2ED1" w:rsidRPr="00F25AB1" w:rsidRDefault="00AF2ED1" w:rsidP="00A94EA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val="en-GB"/>
        </w:rPr>
      </w:pPr>
      <w:r w:rsidRPr="00F25AB1">
        <w:rPr>
          <w:rFonts w:eastAsiaTheme="minorHAnsi"/>
          <w:lang w:val="en-GB"/>
        </w:rPr>
        <w:t>All other claims include, but are not limited to:</w:t>
      </w:r>
    </w:p>
    <w:p w14:paraId="4C9251CF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24595A34" w14:textId="77777777" w:rsidR="00AF2ED1" w:rsidRPr="004710E8" w:rsidRDefault="00AF2ED1" w:rsidP="00AF2E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4710E8">
        <w:rPr>
          <w:rFonts w:eastAsiaTheme="minorHAnsi"/>
          <w:sz w:val="22"/>
          <w:szCs w:val="22"/>
          <w:lang w:val="en-GB"/>
        </w:rPr>
        <w:t>Part 8 claims</w:t>
      </w:r>
    </w:p>
    <w:p w14:paraId="12E634DD" w14:textId="77777777" w:rsidR="00AF2ED1" w:rsidRPr="004710E8" w:rsidRDefault="00AF2ED1" w:rsidP="00AF2E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4710E8">
        <w:rPr>
          <w:rFonts w:eastAsiaTheme="minorHAnsi"/>
          <w:sz w:val="22"/>
          <w:szCs w:val="22"/>
          <w:lang w:val="en-GB"/>
        </w:rPr>
        <w:t>Winding-up petitions</w:t>
      </w:r>
    </w:p>
    <w:p w14:paraId="62E8BE1E" w14:textId="28599A07" w:rsidR="00AF2ED1" w:rsidRPr="00552F2E" w:rsidRDefault="00AF2ED1" w:rsidP="00552F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4710E8">
        <w:rPr>
          <w:rFonts w:eastAsiaTheme="minorHAnsi"/>
          <w:sz w:val="22"/>
          <w:szCs w:val="22"/>
          <w:lang w:val="en-GB"/>
        </w:rPr>
        <w:t>Unquantified damages claims</w:t>
      </w:r>
      <w:r w:rsidR="00552F2E">
        <w:rPr>
          <w:rFonts w:eastAsiaTheme="minorHAnsi"/>
          <w:sz w:val="22"/>
          <w:szCs w:val="22"/>
          <w:lang w:val="en-GB"/>
        </w:rPr>
        <w:t xml:space="preserve">; </w:t>
      </w:r>
      <w:r w:rsidRPr="00552F2E">
        <w:rPr>
          <w:rFonts w:eastAsiaTheme="minorHAnsi"/>
          <w:sz w:val="22"/>
          <w:szCs w:val="22"/>
          <w:lang w:val="en-GB"/>
        </w:rPr>
        <w:t>and</w:t>
      </w:r>
    </w:p>
    <w:p w14:paraId="15D2699B" w14:textId="77777777" w:rsidR="00AF2ED1" w:rsidRDefault="00AF2ED1" w:rsidP="00AF2E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Proceedings for judicial review</w:t>
      </w:r>
    </w:p>
    <w:p w14:paraId="442A1794" w14:textId="77777777" w:rsidR="00AF2ED1" w:rsidRPr="006C500E" w:rsidRDefault="00AF2ED1" w:rsidP="00AF2ED1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DD7726B" w14:textId="77777777" w:rsidR="00AF2ED1" w:rsidRPr="005B55FB" w:rsidRDefault="00AF2ED1" w:rsidP="005B55FB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A259C3">
        <w:rPr>
          <w:rFonts w:eastAsiaTheme="minorHAnsi"/>
          <w:sz w:val="22"/>
          <w:szCs w:val="22"/>
          <w:lang w:val="en-GB"/>
        </w:rPr>
        <w:t>Where a claim is both for money and for other relief (whether cumulatively or in the alternative) only the higher applicable fee is payable.</w:t>
      </w:r>
    </w:p>
    <w:p w14:paraId="6D4D2AB1" w14:textId="77777777" w:rsidR="00AF2ED1" w:rsidRPr="005B55FB" w:rsidRDefault="00AF2ED1" w:rsidP="005B55FB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A259C3">
        <w:rPr>
          <w:rFonts w:eastAsiaTheme="minorHAnsi"/>
          <w:sz w:val="22"/>
          <w:szCs w:val="22"/>
          <w:lang w:val="en-GB"/>
        </w:rPr>
        <w:t>For a claim made by way of counterclaim, the same fee shall be payable as if the relief or remedy sought were the subject of separate proceedings.</w:t>
      </w:r>
    </w:p>
    <w:p w14:paraId="446BAE81" w14:textId="77777777" w:rsidR="00AF2ED1" w:rsidRDefault="00AF2ED1" w:rsidP="00AF2ED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A259C3">
        <w:rPr>
          <w:rFonts w:eastAsiaTheme="minorHAnsi"/>
          <w:sz w:val="22"/>
          <w:szCs w:val="22"/>
          <w:lang w:val="en-GB"/>
        </w:rPr>
        <w:t>Where a claim or counterclaim is amended so that a higher fee would have been payable if it had been so drawn originally, the party making the amendment shall pay the difference.</w:t>
      </w:r>
    </w:p>
    <w:p w14:paraId="72125B69" w14:textId="0F90690D" w:rsidR="00F25AB1" w:rsidRDefault="00F25AB1" w:rsidP="00AF2ED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For the avoidance of doubt, the fees applicable to claims to recognise and/or ratify (i) arbitration awards or (ii) judgments from other courts shall be those applicable to Part 7 claims. This does not apply to applications to enforce judgments from</w:t>
      </w:r>
      <w:r w:rsidR="00D12428">
        <w:rPr>
          <w:rFonts w:eastAsiaTheme="minorHAnsi"/>
          <w:sz w:val="22"/>
          <w:szCs w:val="22"/>
          <w:lang w:val="en-GB"/>
        </w:rPr>
        <w:t>, among others,</w:t>
      </w:r>
      <w:r>
        <w:rPr>
          <w:rFonts w:eastAsiaTheme="minorHAnsi"/>
          <w:sz w:val="22"/>
          <w:szCs w:val="22"/>
          <w:lang w:val="en-GB"/>
        </w:rPr>
        <w:t xml:space="preserve"> Courts in the UAE or GCC, which are to be filed as enforcement claims rather than claims for recognition or ratification.</w:t>
      </w:r>
    </w:p>
    <w:p w14:paraId="4549AF19" w14:textId="77777777" w:rsidR="00F25AB1" w:rsidRPr="00A259C3" w:rsidRDefault="00F25AB1" w:rsidP="00AF2ED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Where a claim or counterclaim is said to be for an unspecified amount, an amount to be determined by the Courts or for an amount which </w:t>
      </w:r>
      <w:r w:rsidR="008B5B89">
        <w:rPr>
          <w:rFonts w:eastAsiaTheme="minorHAnsi"/>
          <w:sz w:val="22"/>
          <w:szCs w:val="22"/>
          <w:lang w:val="en-GB"/>
        </w:rPr>
        <w:t xml:space="preserve">reasonably </w:t>
      </w:r>
      <w:r>
        <w:rPr>
          <w:rFonts w:eastAsiaTheme="minorHAnsi"/>
          <w:sz w:val="22"/>
          <w:szCs w:val="22"/>
          <w:lang w:val="en-GB"/>
        </w:rPr>
        <w:t xml:space="preserve">appears to the DIFC Courts to be less than the </w:t>
      </w:r>
      <w:r w:rsidR="008B5B89">
        <w:rPr>
          <w:rFonts w:eastAsiaTheme="minorHAnsi"/>
          <w:sz w:val="22"/>
          <w:szCs w:val="22"/>
          <w:lang w:val="en-GB"/>
        </w:rPr>
        <w:t>actual amount of the claim or counterclaim, the DIFC Courts may impose such fees as it considers reasonable and which are based on the fees set out in this Schedule.</w:t>
      </w:r>
    </w:p>
    <w:p w14:paraId="36CF37E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46A0B9B7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1F0173AE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II. Applications</w:t>
      </w:r>
    </w:p>
    <w:p w14:paraId="15BF97A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229B96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Applications without a hearing: </w:t>
      </w:r>
    </w:p>
    <w:p w14:paraId="45BABF8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8522B2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 w:rsidRPr="006C500E">
        <w:rPr>
          <w:rFonts w:eastAsiaTheme="minorHAnsi"/>
          <w:b/>
          <w:sz w:val="22"/>
          <w:szCs w:val="22"/>
          <w:lang w:val="en-GB"/>
        </w:rPr>
        <w:t>USD 300</w:t>
      </w:r>
    </w:p>
    <w:p w14:paraId="734E6F33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30CF74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Ordinary Applications:</w:t>
      </w:r>
    </w:p>
    <w:p w14:paraId="4377537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53C9823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Applications likely to require an oral hearing lasting 2 hours or less: </w:t>
      </w:r>
      <w:r w:rsidRPr="006C500E">
        <w:rPr>
          <w:rFonts w:eastAsiaTheme="minorHAnsi"/>
          <w:b/>
          <w:sz w:val="22"/>
          <w:szCs w:val="22"/>
          <w:lang w:val="en-GB"/>
        </w:rPr>
        <w:t>USD 300</w:t>
      </w:r>
    </w:p>
    <w:p w14:paraId="7495B2E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2DFE0F5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Heavy Applications:</w:t>
      </w:r>
    </w:p>
    <w:p w14:paraId="069FE736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F75AB3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Applications likely to require an oral hearing lasting more than 2 hours: </w:t>
      </w:r>
      <w:r w:rsidRPr="006C500E">
        <w:rPr>
          <w:rFonts w:eastAsiaTheme="minorHAnsi"/>
          <w:b/>
          <w:sz w:val="22"/>
          <w:szCs w:val="22"/>
          <w:lang w:val="en-GB"/>
        </w:rPr>
        <w:t>USD 2,000</w:t>
      </w:r>
    </w:p>
    <w:p w14:paraId="2036BB25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EB6439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This fee will include a one day hearing for the relief sought, if applicable.</w:t>
      </w:r>
    </w:p>
    <w:p w14:paraId="614B1CA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997A3D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Notes:</w:t>
      </w:r>
    </w:p>
    <w:p w14:paraId="697623A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442E41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lastRenderedPageBreak/>
        <w:t>Heavy applications include, but are not limited to:</w:t>
      </w:r>
    </w:p>
    <w:p w14:paraId="4534E3BA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9113834" w14:textId="77777777" w:rsidR="00AF2ED1" w:rsidRPr="006C500E" w:rsidRDefault="00AF2ED1" w:rsidP="00AF2E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An application contesting jurisdiction</w:t>
      </w:r>
    </w:p>
    <w:p w14:paraId="44A5F05E" w14:textId="77777777" w:rsidR="00AF2ED1" w:rsidRPr="006C500E" w:rsidRDefault="00AF2ED1" w:rsidP="00AF2E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An application seeking to strike out all or part of a statement of case, submission or evidence filed</w:t>
      </w:r>
    </w:p>
    <w:p w14:paraId="2D0318F2" w14:textId="77777777" w:rsidR="00AF2ED1" w:rsidRPr="006C500E" w:rsidRDefault="00AF2ED1" w:rsidP="00AF2E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An application for immediate judgment</w:t>
      </w:r>
    </w:p>
    <w:p w14:paraId="6AE0CABD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4CCE91C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The above fee is payable whenever an application notice is received by the Registry.</w:t>
      </w:r>
    </w:p>
    <w:p w14:paraId="2BBC108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8D4026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The above fee also applies to applications made by way of letter or email, or pursuant to another Rule,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whether on or without notice, with the exception of applications made orally at a hearing.</w:t>
      </w:r>
    </w:p>
    <w:p w14:paraId="286E36EA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73D79A3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Where an application is amended so as to request a hearing where none was previously sou</w:t>
      </w:r>
      <w:r>
        <w:rPr>
          <w:rFonts w:eastAsiaTheme="minorHAnsi"/>
          <w:sz w:val="22"/>
          <w:szCs w:val="22"/>
          <w:lang w:val="en-GB"/>
        </w:rPr>
        <w:t xml:space="preserve">ght, an </w:t>
      </w:r>
      <w:r w:rsidRPr="006C500E">
        <w:rPr>
          <w:rFonts w:eastAsiaTheme="minorHAnsi"/>
          <w:sz w:val="22"/>
          <w:szCs w:val="22"/>
          <w:lang w:val="en-GB"/>
        </w:rPr>
        <w:t>additional Court fee in line with the above will be payable. The Registrar or Judge shall have the discretion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to determine, on a case-by-case basis, which party shall pay the additional fee.</w:t>
      </w:r>
    </w:p>
    <w:p w14:paraId="7C7038C1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83E3C7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Where an application is amended seeking a longer duration for the </w:t>
      </w:r>
      <w:r>
        <w:rPr>
          <w:rFonts w:eastAsiaTheme="minorHAnsi"/>
          <w:sz w:val="22"/>
          <w:szCs w:val="22"/>
          <w:lang w:val="en-GB"/>
        </w:rPr>
        <w:t xml:space="preserve">hearing, so as to classify that </w:t>
      </w:r>
      <w:r w:rsidRPr="006C500E">
        <w:rPr>
          <w:rFonts w:eastAsiaTheme="minorHAnsi"/>
          <w:sz w:val="22"/>
          <w:szCs w:val="22"/>
          <w:lang w:val="en-GB"/>
        </w:rPr>
        <w:t>application as a heavy rather than ordinary application, an additional C</w:t>
      </w:r>
      <w:r>
        <w:rPr>
          <w:rFonts w:eastAsiaTheme="minorHAnsi"/>
          <w:sz w:val="22"/>
          <w:szCs w:val="22"/>
          <w:lang w:val="en-GB"/>
        </w:rPr>
        <w:t xml:space="preserve">ourt fee in line with the above </w:t>
      </w:r>
      <w:r w:rsidRPr="006C500E">
        <w:rPr>
          <w:rFonts w:eastAsiaTheme="minorHAnsi"/>
          <w:sz w:val="22"/>
          <w:szCs w:val="22"/>
          <w:lang w:val="en-GB"/>
        </w:rPr>
        <w:t>will be payable. The Registrar or Judge shall have the discretion to dete</w:t>
      </w:r>
      <w:r>
        <w:rPr>
          <w:rFonts w:eastAsiaTheme="minorHAnsi"/>
          <w:sz w:val="22"/>
          <w:szCs w:val="22"/>
          <w:lang w:val="en-GB"/>
        </w:rPr>
        <w:t xml:space="preserve">rmine, on a case-by-case basis, </w:t>
      </w:r>
      <w:r w:rsidRPr="006C500E">
        <w:rPr>
          <w:rFonts w:eastAsiaTheme="minorHAnsi"/>
          <w:sz w:val="22"/>
          <w:szCs w:val="22"/>
          <w:lang w:val="en-GB"/>
        </w:rPr>
        <w:t>which party shall pay the additional fee.</w:t>
      </w:r>
    </w:p>
    <w:p w14:paraId="06A1D6D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</w:p>
    <w:p w14:paraId="09BB4EC6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III. Late Filings:</w:t>
      </w:r>
    </w:p>
    <w:p w14:paraId="71C9A78A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02D6060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b/>
          <w:sz w:val="22"/>
          <w:szCs w:val="22"/>
          <w:lang w:val="en-GB"/>
        </w:rPr>
        <w:t>USD 200</w:t>
      </w:r>
      <w:r w:rsidRPr="006C500E">
        <w:rPr>
          <w:rFonts w:eastAsiaTheme="minorHAnsi"/>
          <w:sz w:val="22"/>
          <w:szCs w:val="22"/>
          <w:lang w:val="en-GB"/>
        </w:rPr>
        <w:t xml:space="preserve"> for every day that any and all documents to be filed pursuant to a Rule, Direction or Order of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the Court are filed late with the Court</w:t>
      </w:r>
    </w:p>
    <w:p w14:paraId="47D73DD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76BF0F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309073A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Notes:</w:t>
      </w:r>
    </w:p>
    <w:p w14:paraId="3C673CCC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5F943A58" w14:textId="77777777" w:rsidR="00AF2ED1" w:rsidRPr="006C500E" w:rsidRDefault="00AF2ED1" w:rsidP="003B69D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Parties filing documents after the deadline to do so has passed, even if filed on the same day, may be charged a late filing fee.</w:t>
      </w:r>
    </w:p>
    <w:p w14:paraId="548F32CF" w14:textId="0E36A407" w:rsidR="00AF2ED1" w:rsidRPr="006C500E" w:rsidRDefault="008B5B89" w:rsidP="003B69D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Upon written application, which may be made by way of letter, t</w:t>
      </w:r>
      <w:r w:rsidR="00AF2ED1" w:rsidRPr="006C500E">
        <w:rPr>
          <w:rFonts w:eastAsiaTheme="minorHAnsi"/>
          <w:sz w:val="22"/>
          <w:szCs w:val="22"/>
          <w:lang w:val="en-GB"/>
        </w:rPr>
        <w:t>he Registrar or a Judge of the DIFC Courts shall have the discretion to vary, suspend or waive any and all late filing fees that are applied.</w:t>
      </w:r>
    </w:p>
    <w:p w14:paraId="149D1E2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A9B31D5" w14:textId="77777777" w:rsidR="005B55FB" w:rsidRDefault="005B55FB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</w:p>
    <w:p w14:paraId="5ED3ACE4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IV. Hearings:</w:t>
      </w:r>
    </w:p>
    <w:p w14:paraId="799C91F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698F3E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On setting down for a hearing (up to 1 day): </w:t>
      </w:r>
    </w:p>
    <w:p w14:paraId="34D25EF4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59195A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USD 1,000</w:t>
      </w:r>
    </w:p>
    <w:p w14:paraId="3D26E76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188956E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For each half-day of a hearing after the first day: </w:t>
      </w:r>
    </w:p>
    <w:p w14:paraId="67D7C3F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5B86CC93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 w:rsidRPr="006C500E">
        <w:rPr>
          <w:rFonts w:eastAsiaTheme="minorHAnsi"/>
          <w:b/>
          <w:sz w:val="22"/>
          <w:szCs w:val="22"/>
          <w:lang w:val="en-GB"/>
        </w:rPr>
        <w:t>USD 500</w:t>
      </w:r>
    </w:p>
    <w:p w14:paraId="5D63136B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CECDEEA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The fee shall be paid when the hearing is set down by the DIFC Courts, based on the number of days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agreed by the parties or, failing agreement, as determined by the DIFC Courts.</w:t>
      </w:r>
    </w:p>
    <w:p w14:paraId="66309830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14B59D4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Fees for any overrun shall be paid prior to the expiry of the period for which the hearing was originally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set down.</w:t>
      </w:r>
    </w:p>
    <w:p w14:paraId="72C20589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85B4BCA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The paying party may seek reimbursement of any payment of this fee for half-days not utilised for the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relevant hearing. Reimbursement of such fees shall be at the sole discretion of the DIFC Courts.</w:t>
      </w:r>
    </w:p>
    <w:p w14:paraId="017730F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549E507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Use of video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conferencing facilities:</w:t>
      </w:r>
    </w:p>
    <w:p w14:paraId="5882C6AB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C0C6BB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b/>
          <w:sz w:val="22"/>
          <w:szCs w:val="22"/>
          <w:lang w:val="en-GB"/>
        </w:rPr>
        <w:t>USD 1,000</w:t>
      </w:r>
      <w:r w:rsidRPr="006C500E">
        <w:rPr>
          <w:rFonts w:eastAsiaTheme="minorHAnsi"/>
          <w:sz w:val="22"/>
          <w:szCs w:val="22"/>
          <w:lang w:val="en-GB"/>
        </w:rPr>
        <w:t xml:space="preserve"> per hearing</w:t>
      </w:r>
    </w:p>
    <w:p w14:paraId="738CD39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C9D798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Notes:</w:t>
      </w:r>
    </w:p>
    <w:p w14:paraId="404D1D9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97618E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With regard to hearings by telephone or video conference, the costs of the transmission will initially be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the responsibility of, and must be met by, the party requesting the telephone or video conferencing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facility. Such costs will be invoiced in addition to the setting down for a hearing fee.</w:t>
      </w:r>
    </w:p>
    <w:p w14:paraId="72A736D4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3EF5117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Should a hearing be vacated one month in advance of the date it is </w:t>
      </w:r>
      <w:r>
        <w:rPr>
          <w:rFonts w:eastAsiaTheme="minorHAnsi"/>
          <w:sz w:val="22"/>
          <w:szCs w:val="22"/>
          <w:lang w:val="en-GB"/>
        </w:rPr>
        <w:t xml:space="preserve">listed, the hearing fee will no </w:t>
      </w:r>
      <w:r w:rsidRPr="006C500E">
        <w:rPr>
          <w:rFonts w:eastAsiaTheme="minorHAnsi"/>
          <w:sz w:val="22"/>
          <w:szCs w:val="22"/>
          <w:lang w:val="en-GB"/>
        </w:rPr>
        <w:t>longer be payable and will be refunded if already paid. Any hearin</w:t>
      </w:r>
      <w:r>
        <w:rPr>
          <w:rFonts w:eastAsiaTheme="minorHAnsi"/>
          <w:sz w:val="22"/>
          <w:szCs w:val="22"/>
          <w:lang w:val="en-GB"/>
        </w:rPr>
        <w:t xml:space="preserve">g vacated within a month of the </w:t>
      </w:r>
      <w:r w:rsidRPr="006C500E">
        <w:rPr>
          <w:rFonts w:eastAsiaTheme="minorHAnsi"/>
          <w:sz w:val="22"/>
          <w:szCs w:val="22"/>
          <w:lang w:val="en-GB"/>
        </w:rPr>
        <w:t>listing date remains payable. If a hearing is vacated within a month of the listing date and is relisted for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a later date, both hearing fees will be payable.</w:t>
      </w:r>
    </w:p>
    <w:p w14:paraId="5F068C63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1944922D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V. Appeals:</w:t>
      </w:r>
    </w:p>
    <w:p w14:paraId="76A88483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39F09053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Filing an Appellant’s/Respondent’s Notice:</w:t>
      </w:r>
    </w:p>
    <w:p w14:paraId="5CDD880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39B795F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lang w:val="en-GB"/>
        </w:rPr>
      </w:pPr>
      <w:r w:rsidRPr="006C500E">
        <w:rPr>
          <w:rFonts w:eastAsiaTheme="minorHAnsi"/>
          <w:b/>
          <w:lang w:val="en-GB"/>
        </w:rPr>
        <w:t>USD 5,000</w:t>
      </w:r>
    </w:p>
    <w:p w14:paraId="5301B58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lang w:val="en-GB"/>
        </w:rPr>
      </w:pPr>
    </w:p>
    <w:p w14:paraId="039E7CE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This fee includes a 1 day hearing before the Court of Appeal.</w:t>
      </w:r>
    </w:p>
    <w:p w14:paraId="722A5081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5C5F539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Notes:</w:t>
      </w:r>
    </w:p>
    <w:p w14:paraId="50174D21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28F6D371" w14:textId="77777777" w:rsidR="00AF2ED1" w:rsidRDefault="00AF2ED1" w:rsidP="00AF2ED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For a cross-appeal, the same fees as payable as for an appeal.</w:t>
      </w:r>
    </w:p>
    <w:p w14:paraId="201A5179" w14:textId="77777777" w:rsidR="00AF2ED1" w:rsidRDefault="00AF2ED1" w:rsidP="00AF2ED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Setting down for hearing fees under Article IV applies to appeal hearings.</w:t>
      </w:r>
    </w:p>
    <w:p w14:paraId="2CB44402" w14:textId="77777777" w:rsidR="00AF2ED1" w:rsidRPr="006C500E" w:rsidRDefault="00AF2ED1" w:rsidP="00AF2ED1">
      <w:pPr>
        <w:pStyle w:val="ListParagraph"/>
        <w:autoSpaceDE w:val="0"/>
        <w:autoSpaceDN w:val="0"/>
        <w:adjustRightInd w:val="0"/>
        <w:rPr>
          <w:rFonts w:eastAsiaTheme="minorHAnsi"/>
          <w:lang w:val="en-GB"/>
        </w:rPr>
      </w:pPr>
    </w:p>
    <w:p w14:paraId="1AA1CB48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VI. Enforcement (ENF):</w:t>
      </w:r>
    </w:p>
    <w:p w14:paraId="4C0058BB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4458D40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Enforcement in the DIFC: </w:t>
      </w:r>
    </w:p>
    <w:p w14:paraId="1ECADF1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7DC76CD" w14:textId="77777777" w:rsidR="00AF2ED1" w:rsidRDefault="00AF2ED1" w:rsidP="00AF2ED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Enforcing DIFC Court judgments or orders:</w:t>
      </w:r>
    </w:p>
    <w:p w14:paraId="0FC67855" w14:textId="77777777" w:rsidR="00AF2ED1" w:rsidRDefault="00AF2ED1" w:rsidP="00AF2ED1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4C0310E5" w14:textId="77777777" w:rsidR="00AF2ED1" w:rsidRDefault="00AF2ED1" w:rsidP="00AF2ED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236AC">
        <w:rPr>
          <w:rFonts w:eastAsiaTheme="minorHAnsi"/>
          <w:b/>
          <w:sz w:val="22"/>
          <w:szCs w:val="22"/>
          <w:lang w:val="en-GB"/>
        </w:rPr>
        <w:t>No fee</w:t>
      </w:r>
      <w:r>
        <w:rPr>
          <w:rFonts w:eastAsiaTheme="minorHAnsi"/>
          <w:sz w:val="22"/>
          <w:szCs w:val="22"/>
          <w:lang w:val="en-GB"/>
        </w:rPr>
        <w:t xml:space="preserve"> will be payable by the party filing for enforcement.</w:t>
      </w:r>
    </w:p>
    <w:p w14:paraId="2CAC0DFD" w14:textId="77777777" w:rsidR="00AF2ED1" w:rsidRDefault="00AF2ED1" w:rsidP="00AF2ED1">
      <w:pPr>
        <w:pStyle w:val="ListParagraph"/>
        <w:autoSpaceDE w:val="0"/>
        <w:autoSpaceDN w:val="0"/>
        <w:adjustRightInd w:val="0"/>
        <w:ind w:left="1440"/>
        <w:rPr>
          <w:rFonts w:eastAsiaTheme="minorHAnsi"/>
          <w:sz w:val="22"/>
          <w:szCs w:val="22"/>
          <w:lang w:val="en-GB"/>
        </w:rPr>
      </w:pPr>
    </w:p>
    <w:p w14:paraId="5FA172DB" w14:textId="77777777" w:rsidR="00AF2ED1" w:rsidRDefault="00AF2ED1" w:rsidP="00AF2ED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236AC">
        <w:rPr>
          <w:rFonts w:eastAsiaTheme="minorHAnsi"/>
          <w:b/>
          <w:sz w:val="22"/>
          <w:szCs w:val="22"/>
          <w:lang w:val="en-GB"/>
        </w:rPr>
        <w:t>3% of the value of the judgment or order</w:t>
      </w:r>
      <w:r>
        <w:rPr>
          <w:rFonts w:eastAsiaTheme="minorHAnsi"/>
          <w:sz w:val="22"/>
          <w:szCs w:val="22"/>
          <w:lang w:val="en-GB"/>
        </w:rPr>
        <w:t xml:space="preserve"> is to be settled by the party against whom enforcement has been filed.</w:t>
      </w:r>
    </w:p>
    <w:p w14:paraId="4FC0347E" w14:textId="77777777" w:rsidR="00AF2ED1" w:rsidRPr="002236AC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BAAA60F" w14:textId="77777777" w:rsidR="00AF2ED1" w:rsidRDefault="00AF2ED1" w:rsidP="00AF2ED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Enforcing judgments or orders made outside of the DIFC Courts:</w:t>
      </w:r>
    </w:p>
    <w:p w14:paraId="7CB15095" w14:textId="77777777" w:rsidR="00AF2ED1" w:rsidRDefault="00AF2ED1" w:rsidP="00AF2ED1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96D5ABE" w14:textId="77777777" w:rsidR="00AF2ED1" w:rsidRDefault="00AF2ED1" w:rsidP="00AF2E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236AC">
        <w:rPr>
          <w:rFonts w:eastAsiaTheme="minorHAnsi"/>
          <w:b/>
          <w:sz w:val="22"/>
          <w:szCs w:val="22"/>
          <w:lang w:val="en-GB"/>
        </w:rPr>
        <w:t>1% of the value of the judgment or order, with a minimum of USD 100 and a maximum of USD 20,000</w:t>
      </w:r>
      <w:r>
        <w:rPr>
          <w:rFonts w:eastAsiaTheme="minorHAnsi"/>
          <w:sz w:val="22"/>
          <w:szCs w:val="22"/>
          <w:lang w:val="en-GB"/>
        </w:rPr>
        <w:t>, is to be settled by the party filing for enforcement.</w:t>
      </w:r>
    </w:p>
    <w:p w14:paraId="333EF32E" w14:textId="77777777" w:rsidR="00AF2ED1" w:rsidRDefault="00AF2ED1" w:rsidP="00AF2ED1">
      <w:pPr>
        <w:pStyle w:val="ListParagraph"/>
        <w:autoSpaceDE w:val="0"/>
        <w:autoSpaceDN w:val="0"/>
        <w:adjustRightInd w:val="0"/>
        <w:ind w:left="1440"/>
        <w:rPr>
          <w:rFonts w:eastAsiaTheme="minorHAnsi"/>
          <w:sz w:val="22"/>
          <w:szCs w:val="22"/>
          <w:lang w:val="en-GB"/>
        </w:rPr>
      </w:pPr>
    </w:p>
    <w:p w14:paraId="1104027B" w14:textId="77777777" w:rsidR="00DF66DB" w:rsidRDefault="00AF2ED1" w:rsidP="00DF66D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236AC">
        <w:rPr>
          <w:rFonts w:eastAsiaTheme="minorHAnsi"/>
          <w:b/>
          <w:sz w:val="22"/>
          <w:szCs w:val="22"/>
          <w:lang w:val="en-GB"/>
        </w:rPr>
        <w:t>3% of the value of the judgment or order</w:t>
      </w:r>
      <w:r>
        <w:rPr>
          <w:rFonts w:eastAsiaTheme="minorHAnsi"/>
          <w:sz w:val="22"/>
          <w:szCs w:val="22"/>
          <w:lang w:val="en-GB"/>
        </w:rPr>
        <w:t xml:space="preserve"> is to be settled by the party against whom enforcement has been filed.</w:t>
      </w:r>
    </w:p>
    <w:p w14:paraId="61DFE932" w14:textId="77777777" w:rsidR="00DF66DB" w:rsidRDefault="00DF66DB" w:rsidP="005B55FB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6020C10" w14:textId="77777777" w:rsidR="00DF66DB" w:rsidRPr="005B55FB" w:rsidRDefault="00DF66DB" w:rsidP="005D5AC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GB"/>
        </w:rPr>
      </w:pPr>
      <w:r w:rsidRPr="00E53DE0">
        <w:rPr>
          <w:rFonts w:eastAsiaTheme="minorHAnsi"/>
          <w:sz w:val="22"/>
          <w:szCs w:val="22"/>
          <w:lang w:val="en-GB"/>
        </w:rPr>
        <w:t xml:space="preserve">An enforcement fee will not be payable in the event that an interim </w:t>
      </w:r>
      <w:r w:rsidR="008B5B89" w:rsidRPr="00E53DE0">
        <w:rPr>
          <w:rFonts w:eastAsiaTheme="minorHAnsi"/>
          <w:sz w:val="22"/>
          <w:szCs w:val="22"/>
          <w:lang w:val="en-GB"/>
        </w:rPr>
        <w:t xml:space="preserve">enforcement </w:t>
      </w:r>
      <w:r w:rsidRPr="00E53DE0">
        <w:rPr>
          <w:rFonts w:eastAsiaTheme="minorHAnsi"/>
          <w:sz w:val="22"/>
          <w:szCs w:val="22"/>
          <w:lang w:val="en-GB"/>
        </w:rPr>
        <w:t xml:space="preserve">order does not become final. </w:t>
      </w:r>
      <w:r w:rsidR="000C067B" w:rsidRPr="00E53DE0">
        <w:rPr>
          <w:rFonts w:eastAsiaTheme="minorHAnsi"/>
          <w:sz w:val="22"/>
          <w:szCs w:val="22"/>
          <w:lang w:val="en-GB"/>
        </w:rPr>
        <w:t>In practical terms, the receiving party’s invoice will be issued upon application, whereas the paying party’s fee will be invoiced and fall due once the enforcement order becomes final.</w:t>
      </w:r>
      <w:r w:rsidR="000C067B">
        <w:rPr>
          <w:rFonts w:eastAsiaTheme="minorHAnsi"/>
          <w:sz w:val="22"/>
          <w:szCs w:val="22"/>
          <w:lang w:val="en-GB"/>
        </w:rPr>
        <w:t xml:space="preserve">  </w:t>
      </w:r>
    </w:p>
    <w:p w14:paraId="7795A70A" w14:textId="77777777" w:rsidR="00AF2ED1" w:rsidRPr="006C500E" w:rsidRDefault="00AF2ED1" w:rsidP="00AF2ED1">
      <w:pPr>
        <w:pStyle w:val="ListParagraph"/>
        <w:autoSpaceDE w:val="0"/>
        <w:autoSpaceDN w:val="0"/>
        <w:adjustRightInd w:val="0"/>
        <w:ind w:left="1440"/>
        <w:rPr>
          <w:rFonts w:eastAsiaTheme="minorHAnsi"/>
          <w:sz w:val="22"/>
          <w:szCs w:val="22"/>
          <w:lang w:val="en-GB"/>
        </w:rPr>
      </w:pPr>
    </w:p>
    <w:p w14:paraId="433613A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Enforcement outside of the DIFC: </w:t>
      </w:r>
    </w:p>
    <w:p w14:paraId="0C9DED8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1AE1C6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2236AC">
        <w:rPr>
          <w:rFonts w:eastAsiaTheme="minorHAnsi"/>
          <w:b/>
          <w:sz w:val="22"/>
          <w:szCs w:val="22"/>
          <w:lang w:val="en-GB"/>
        </w:rPr>
        <w:t>USD 100</w:t>
      </w:r>
      <w:r w:rsidRPr="006C500E">
        <w:rPr>
          <w:rFonts w:eastAsiaTheme="minorHAnsi"/>
          <w:sz w:val="22"/>
          <w:szCs w:val="22"/>
          <w:lang w:val="en-GB"/>
        </w:rPr>
        <w:t xml:space="preserve"> for a letter or information from the DIFC Courts to enforce outside of the DIFC.</w:t>
      </w:r>
    </w:p>
    <w:p w14:paraId="2F8546E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6FE0CC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Enforcement applications:</w:t>
      </w:r>
    </w:p>
    <w:p w14:paraId="7B3DB1C4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8D9AD3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 w:rsidRPr="002236AC">
        <w:rPr>
          <w:rFonts w:eastAsiaTheme="minorHAnsi"/>
          <w:b/>
          <w:sz w:val="22"/>
          <w:szCs w:val="22"/>
          <w:lang w:val="en-GB"/>
        </w:rPr>
        <w:t>USD 300</w:t>
      </w:r>
    </w:p>
    <w:p w14:paraId="21D7822F" w14:textId="77777777" w:rsidR="00AF2ED1" w:rsidRPr="002236AC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63A9FF11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C500E">
        <w:rPr>
          <w:rFonts w:eastAsiaTheme="minorHAnsi"/>
          <w:lang w:val="en-GB"/>
        </w:rPr>
        <w:t>Notes:</w:t>
      </w:r>
    </w:p>
    <w:p w14:paraId="0BAB1FA6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3EE9C912" w14:textId="0C80C984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Enforcement as per the above does not apply to the </w:t>
      </w:r>
      <w:r w:rsidR="008B5B89">
        <w:rPr>
          <w:rFonts w:eastAsiaTheme="minorHAnsi"/>
          <w:sz w:val="22"/>
          <w:szCs w:val="22"/>
          <w:lang w:val="en-GB"/>
        </w:rPr>
        <w:t xml:space="preserve">ratification and/or recognition </w:t>
      </w:r>
      <w:r>
        <w:rPr>
          <w:rFonts w:eastAsiaTheme="minorHAnsi"/>
          <w:sz w:val="22"/>
          <w:szCs w:val="22"/>
          <w:lang w:val="en-GB"/>
        </w:rPr>
        <w:t xml:space="preserve">of </w:t>
      </w:r>
      <w:r w:rsidR="008B5B89">
        <w:rPr>
          <w:rFonts w:eastAsiaTheme="minorHAnsi"/>
          <w:sz w:val="22"/>
          <w:szCs w:val="22"/>
          <w:lang w:val="en-GB"/>
        </w:rPr>
        <w:t>a</w:t>
      </w:r>
      <w:r>
        <w:rPr>
          <w:rFonts w:eastAsiaTheme="minorHAnsi"/>
          <w:sz w:val="22"/>
          <w:szCs w:val="22"/>
          <w:lang w:val="en-GB"/>
        </w:rPr>
        <w:t xml:space="preserve">rbitral </w:t>
      </w:r>
      <w:r w:rsidR="008B5B89">
        <w:rPr>
          <w:rFonts w:eastAsiaTheme="minorHAnsi"/>
          <w:sz w:val="22"/>
          <w:szCs w:val="22"/>
          <w:lang w:val="en-GB"/>
        </w:rPr>
        <w:t>a</w:t>
      </w:r>
      <w:r>
        <w:rPr>
          <w:rFonts w:eastAsiaTheme="minorHAnsi"/>
          <w:sz w:val="22"/>
          <w:szCs w:val="22"/>
          <w:lang w:val="en-GB"/>
        </w:rPr>
        <w:t>wards</w:t>
      </w:r>
      <w:r w:rsidR="008B5B89">
        <w:rPr>
          <w:rFonts w:eastAsiaTheme="minorHAnsi"/>
          <w:sz w:val="22"/>
          <w:szCs w:val="22"/>
          <w:lang w:val="en-GB"/>
        </w:rPr>
        <w:t xml:space="preserve"> or judgments of other courts</w:t>
      </w:r>
      <w:r>
        <w:rPr>
          <w:rFonts w:eastAsiaTheme="minorHAnsi"/>
          <w:sz w:val="22"/>
          <w:szCs w:val="22"/>
          <w:lang w:val="en-GB"/>
        </w:rPr>
        <w:t xml:space="preserve">. </w:t>
      </w:r>
      <w:r w:rsidRPr="006C500E">
        <w:rPr>
          <w:rFonts w:eastAsiaTheme="minorHAnsi"/>
          <w:sz w:val="22"/>
          <w:szCs w:val="22"/>
          <w:lang w:val="en-GB"/>
        </w:rPr>
        <w:t>See Article I.</w:t>
      </w:r>
    </w:p>
    <w:p w14:paraId="29D37FF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1E225EA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4BD55866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VII. Determination of Costs:</w:t>
      </w:r>
    </w:p>
    <w:p w14:paraId="52AD2B74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5868D84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Upon filing a Notice of Commencement </w:t>
      </w:r>
      <w:r w:rsidRPr="006C500E">
        <w:rPr>
          <w:rFonts w:eastAsiaTheme="minorHAnsi"/>
          <w:sz w:val="22"/>
          <w:szCs w:val="22"/>
          <w:lang w:val="en-GB"/>
        </w:rPr>
        <w:t>of Assessment of Bill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of Costs:</w:t>
      </w:r>
    </w:p>
    <w:p w14:paraId="493E2583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031E6E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 w:rsidRPr="000624B4">
        <w:rPr>
          <w:rFonts w:eastAsiaTheme="minorHAnsi"/>
          <w:b/>
          <w:sz w:val="22"/>
          <w:szCs w:val="22"/>
          <w:lang w:val="en-GB"/>
        </w:rPr>
        <w:t>7.5% of the sum claimed</w:t>
      </w:r>
    </w:p>
    <w:p w14:paraId="45735334" w14:textId="77777777" w:rsidR="00AF2ED1" w:rsidRPr="000624B4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744BC954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Upon issuing: </w:t>
      </w:r>
    </w:p>
    <w:p w14:paraId="1A779AB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978555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Default costs certificate or certificate for an agreed amount: </w:t>
      </w:r>
      <w:r w:rsidRPr="000624B4">
        <w:rPr>
          <w:rFonts w:eastAsiaTheme="minorHAnsi"/>
          <w:b/>
          <w:sz w:val="22"/>
          <w:szCs w:val="22"/>
          <w:lang w:val="en-GB"/>
        </w:rPr>
        <w:t>USD 300</w:t>
      </w:r>
    </w:p>
    <w:p w14:paraId="186F078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67FC77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Notes:</w:t>
      </w:r>
    </w:p>
    <w:p w14:paraId="1F14E84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01F5B3D" w14:textId="77777777" w:rsidR="00AF2ED1" w:rsidRDefault="00AF2ED1" w:rsidP="00AF2ED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A separate setting down fee for the detailed costs assessment hearing shall apply (see Article IV — Hearings).</w:t>
      </w:r>
    </w:p>
    <w:p w14:paraId="4DFBE12A" w14:textId="77777777" w:rsidR="00AF2ED1" w:rsidRPr="000624B4" w:rsidRDefault="00AF2ED1" w:rsidP="00AF2ED1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52F9F654" w14:textId="301892B8" w:rsidR="00AF2ED1" w:rsidRDefault="00AF2ED1" w:rsidP="00AF2ED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 xml:space="preserve">Where the sum certified in a final costs certificate includes costs certified in an interim certificate in respect of which </w:t>
      </w:r>
      <w:r w:rsidR="003B69D8">
        <w:rPr>
          <w:rFonts w:eastAsiaTheme="minorHAnsi"/>
          <w:sz w:val="22"/>
          <w:szCs w:val="22"/>
          <w:lang w:val="en-GB"/>
        </w:rPr>
        <w:t>a fee</w:t>
      </w:r>
      <w:r w:rsidR="00E53DE0">
        <w:rPr>
          <w:rFonts w:eastAsiaTheme="minorHAnsi"/>
          <w:sz w:val="22"/>
          <w:szCs w:val="22"/>
          <w:lang w:val="en-GB"/>
        </w:rPr>
        <w:t xml:space="preserve"> </w:t>
      </w:r>
      <w:r w:rsidRPr="000624B4">
        <w:rPr>
          <w:rFonts w:eastAsiaTheme="minorHAnsi"/>
          <w:sz w:val="22"/>
          <w:szCs w:val="22"/>
          <w:lang w:val="en-GB"/>
        </w:rPr>
        <w:t>has been paid, the fee for the final costs certificate shall be correspondingly reduced.</w:t>
      </w:r>
    </w:p>
    <w:p w14:paraId="5A6BD639" w14:textId="77777777" w:rsidR="00AF2ED1" w:rsidRPr="000624B4" w:rsidRDefault="00AF2ED1" w:rsidP="00AF2ED1">
      <w:pPr>
        <w:pStyle w:val="ListParagraph"/>
        <w:rPr>
          <w:rFonts w:eastAsiaTheme="minorHAnsi"/>
          <w:sz w:val="22"/>
          <w:szCs w:val="22"/>
          <w:lang w:val="en-GB"/>
        </w:rPr>
      </w:pPr>
    </w:p>
    <w:p w14:paraId="76061D26" w14:textId="07A69240" w:rsidR="00AF2ED1" w:rsidRPr="000624B4" w:rsidRDefault="00AF2ED1" w:rsidP="00AF2ED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 xml:space="preserve">Parties will be entitled to a 50% refund </w:t>
      </w:r>
      <w:r w:rsidR="00557E4C">
        <w:rPr>
          <w:rFonts w:eastAsiaTheme="minorHAnsi"/>
          <w:sz w:val="22"/>
          <w:szCs w:val="22"/>
          <w:lang w:val="en-GB"/>
        </w:rPr>
        <w:t xml:space="preserve">(of the sum they paid in respect of the notice of commencement of assessment of bill of costs) </w:t>
      </w:r>
      <w:r w:rsidRPr="000624B4">
        <w:rPr>
          <w:rFonts w:eastAsiaTheme="minorHAnsi"/>
          <w:sz w:val="22"/>
          <w:szCs w:val="22"/>
          <w:lang w:val="en-GB"/>
        </w:rPr>
        <w:t>if they settle in full and advise the Court within 21 days of the date of the detailed assessment.</w:t>
      </w:r>
    </w:p>
    <w:p w14:paraId="63992FD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06CD40D2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VIII. Small Claims Tribunal:</w:t>
      </w:r>
    </w:p>
    <w:p w14:paraId="0B3C797B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2A0D1836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Filing fees for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employment claims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shall be assessed as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follows:</w:t>
      </w:r>
    </w:p>
    <w:p w14:paraId="53668FC1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0A5CB8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2% of the value of the claim with a minimum of USD 100.</w:t>
      </w:r>
    </w:p>
    <w:p w14:paraId="137E1A3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67C17D56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Appeals to the CFI following employment claims in the SCT shall be assessed as follows:</w:t>
      </w:r>
    </w:p>
    <w:p w14:paraId="04F22AA8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595B1D6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1% of the value of the claim with a minimum of USD 100.</w:t>
      </w:r>
    </w:p>
    <w:p w14:paraId="17842FB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45267E61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Filing fees for claims relating to rental disputes which do not exceed AED 500,000 shall be assessed as follows:</w:t>
      </w:r>
    </w:p>
    <w:p w14:paraId="70CB2A5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D2493B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5% of the value of the claim with a minimum of USD 100.</w:t>
      </w:r>
    </w:p>
    <w:p w14:paraId="3F4499C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45CCDC4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Filing fees for all other claims:</w:t>
      </w:r>
    </w:p>
    <w:p w14:paraId="5F2C9B30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4D4A6E2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5% of the value of the claim with a minimum of USD 100.</w:t>
      </w:r>
    </w:p>
    <w:p w14:paraId="3B6FE532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4EB876A5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Appeals to the CFI following non-employment claims in the SCT shall be assessed as follows:</w:t>
      </w:r>
    </w:p>
    <w:p w14:paraId="15AC7CB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5398473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>2.5% of the value of the claim with a minimum of USD 100.</w:t>
      </w:r>
    </w:p>
    <w:p w14:paraId="5A9AEEF1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04CD721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>Notes:</w:t>
      </w:r>
    </w:p>
    <w:p w14:paraId="589F7EDA" w14:textId="77777777" w:rsidR="00AF2ED1" w:rsidRPr="000624B4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9D2537F" w14:textId="77777777" w:rsidR="00AF2ED1" w:rsidRPr="000624B4" w:rsidRDefault="00AF2ED1" w:rsidP="003B69D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For a claim made by way of counterclaim, t</w:t>
      </w:r>
      <w:bookmarkStart w:id="0" w:name="_GoBack"/>
      <w:bookmarkEnd w:id="0"/>
      <w:r w:rsidRPr="000624B4">
        <w:rPr>
          <w:rFonts w:eastAsiaTheme="minorHAnsi"/>
          <w:sz w:val="22"/>
          <w:szCs w:val="22"/>
          <w:lang w:val="en-GB"/>
        </w:rPr>
        <w:t>he same fee shall be payable as if the relief or remedy sought were the subject of separate proceedings.</w:t>
      </w:r>
    </w:p>
    <w:p w14:paraId="14DA3B55" w14:textId="77777777" w:rsidR="00AF2ED1" w:rsidRPr="000624B4" w:rsidRDefault="00AF2ED1" w:rsidP="003B69D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The SCT Registrar or SCT Judge shall have the discretion to suspend, reduce, or waive applicable fees in the SCT if they consider it appropriate in the circumstances.</w:t>
      </w:r>
    </w:p>
    <w:p w14:paraId="1322D9AA" w14:textId="77777777" w:rsidR="00AF2ED1" w:rsidRPr="000624B4" w:rsidRDefault="00AF2ED1" w:rsidP="003B69D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The fees for a Part 7 Claim will apply to cases that are transferred from the SCT to the CFI pursuant to RDC 53.37.</w:t>
      </w:r>
    </w:p>
    <w:p w14:paraId="3B05018F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4A19AAA2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 w:rsidRPr="00543209">
        <w:rPr>
          <w:rFonts w:eastAsiaTheme="minorHAnsi"/>
          <w:b/>
          <w:u w:val="single"/>
          <w:lang w:val="en-GB"/>
        </w:rPr>
        <w:t>IX. Transcripts, Recordings and Photocopies:</w:t>
      </w:r>
    </w:p>
    <w:p w14:paraId="55B3E0F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70CA54F2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Transcripts of hearings (unofficial only):</w:t>
      </w:r>
    </w:p>
    <w:p w14:paraId="1D29B35D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 </w:t>
      </w:r>
    </w:p>
    <w:p w14:paraId="63D2BC8B" w14:textId="77777777" w:rsidR="00AF2ED1" w:rsidRPr="000624B4" w:rsidRDefault="00AF2ED1" w:rsidP="00AF2E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USD 385 per hour for overnight turnaround</w:t>
      </w:r>
    </w:p>
    <w:p w14:paraId="2697FE75" w14:textId="77777777" w:rsidR="00AF2ED1" w:rsidRPr="000624B4" w:rsidRDefault="00AF2ED1" w:rsidP="00AF2E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USD 337 per hour for 2 working-day turnaround</w:t>
      </w:r>
    </w:p>
    <w:p w14:paraId="30099FCD" w14:textId="77777777" w:rsidR="00AF2ED1" w:rsidRPr="000624B4" w:rsidRDefault="00AF2ED1" w:rsidP="00AF2E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USD 298 per hour for 4 working-day turnaround</w:t>
      </w:r>
    </w:p>
    <w:p w14:paraId="7C445861" w14:textId="77777777" w:rsidR="00AF2ED1" w:rsidRPr="000624B4" w:rsidRDefault="00AF2ED1" w:rsidP="00AF2E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USD 248 per hour for 7 working-day turnaround</w:t>
      </w:r>
    </w:p>
    <w:p w14:paraId="64FF8A6E" w14:textId="77777777" w:rsidR="00AF2ED1" w:rsidRPr="000624B4" w:rsidRDefault="00AF2ED1" w:rsidP="00AF2E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USD 585 per hour for processing on a weekend or Public Holiday</w:t>
      </w:r>
    </w:p>
    <w:p w14:paraId="3A6E8E4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E551E59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>In accordance with Rule 35.99 of the Rules of the DIFC Courts, should a</w:t>
      </w:r>
      <w:r>
        <w:rPr>
          <w:rFonts w:eastAsiaTheme="minorHAnsi"/>
          <w:sz w:val="22"/>
          <w:szCs w:val="22"/>
          <w:lang w:val="en-GB"/>
        </w:rPr>
        <w:t xml:space="preserve"> party wish to request the DIFC </w:t>
      </w:r>
      <w:r w:rsidRPr="006C500E">
        <w:rPr>
          <w:rFonts w:eastAsiaTheme="minorHAnsi"/>
          <w:sz w:val="22"/>
          <w:szCs w:val="22"/>
          <w:lang w:val="en-GB"/>
        </w:rPr>
        <w:t>Courts to have a transcript of any hearing(s) drawn up, the Court shall charge an administrative f</w:t>
      </w:r>
      <w:r>
        <w:rPr>
          <w:rFonts w:eastAsiaTheme="minorHAnsi"/>
          <w:sz w:val="22"/>
          <w:szCs w:val="22"/>
          <w:lang w:val="en-GB"/>
        </w:rPr>
        <w:t xml:space="preserve">ee of </w:t>
      </w:r>
      <w:r w:rsidRPr="000624B4">
        <w:rPr>
          <w:rFonts w:eastAsiaTheme="minorHAnsi"/>
          <w:b/>
          <w:sz w:val="22"/>
          <w:szCs w:val="22"/>
          <w:lang w:val="en-GB"/>
        </w:rPr>
        <w:t>USD 300</w:t>
      </w:r>
      <w:r w:rsidRPr="006C500E">
        <w:rPr>
          <w:rFonts w:eastAsiaTheme="minorHAnsi"/>
          <w:sz w:val="22"/>
          <w:szCs w:val="22"/>
          <w:lang w:val="en-GB"/>
        </w:rPr>
        <w:t xml:space="preserve"> for the handling of such a request, in addition to the applicable third party charges.</w:t>
      </w:r>
    </w:p>
    <w:p w14:paraId="627A0D07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7F52B76E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353FAC3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Recordings of </w:t>
      </w:r>
      <w:r w:rsidRPr="006C500E">
        <w:rPr>
          <w:rFonts w:eastAsiaTheme="minorHAnsi"/>
          <w:sz w:val="22"/>
          <w:szCs w:val="22"/>
          <w:lang w:val="en-GB"/>
        </w:rPr>
        <w:t>hearings:</w:t>
      </w:r>
    </w:p>
    <w:p w14:paraId="67C7D1C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77C8597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b/>
          <w:sz w:val="22"/>
          <w:szCs w:val="22"/>
          <w:lang w:val="en-GB"/>
        </w:rPr>
        <w:t>USD 300</w:t>
      </w:r>
      <w:r w:rsidRPr="006C500E">
        <w:rPr>
          <w:rFonts w:eastAsiaTheme="minorHAnsi"/>
          <w:sz w:val="22"/>
          <w:szCs w:val="22"/>
          <w:lang w:val="en-GB"/>
        </w:rPr>
        <w:t xml:space="preserve"> per CD of recording (8 hours of recording per disc)</w:t>
      </w:r>
    </w:p>
    <w:p w14:paraId="5C1D530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6C07AFF9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Photocopies of </w:t>
      </w:r>
      <w:r w:rsidRPr="006C500E">
        <w:rPr>
          <w:rFonts w:eastAsiaTheme="minorHAnsi"/>
          <w:sz w:val="22"/>
          <w:szCs w:val="22"/>
          <w:lang w:val="en-GB"/>
        </w:rPr>
        <w:t>documents from the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Court records</w:t>
      </w:r>
      <w:r>
        <w:rPr>
          <w:rFonts w:eastAsiaTheme="minorHAnsi"/>
          <w:sz w:val="22"/>
          <w:szCs w:val="22"/>
          <w:lang w:val="en-GB"/>
        </w:rPr>
        <w:t xml:space="preserve"> </w:t>
      </w:r>
      <w:r w:rsidRPr="006C500E">
        <w:rPr>
          <w:rFonts w:eastAsiaTheme="minorHAnsi"/>
          <w:sz w:val="22"/>
          <w:szCs w:val="22"/>
          <w:lang w:val="en-GB"/>
        </w:rPr>
        <w:t>(RDC 6.9-12, 17):</w:t>
      </w:r>
    </w:p>
    <w:p w14:paraId="7DF6E1A2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for the first page: </w:t>
      </w:r>
      <w:r w:rsidRPr="000624B4">
        <w:rPr>
          <w:rFonts w:eastAsiaTheme="minorHAnsi"/>
          <w:b/>
          <w:sz w:val="22"/>
          <w:szCs w:val="22"/>
          <w:lang w:val="en-GB"/>
        </w:rPr>
        <w:t>USD 2</w:t>
      </w:r>
    </w:p>
    <w:p w14:paraId="033AFF90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6C500E">
        <w:rPr>
          <w:rFonts w:eastAsiaTheme="minorHAnsi"/>
          <w:sz w:val="22"/>
          <w:szCs w:val="22"/>
          <w:lang w:val="en-GB"/>
        </w:rPr>
        <w:t xml:space="preserve">for each subsequent page: </w:t>
      </w:r>
      <w:r w:rsidRPr="000624B4">
        <w:rPr>
          <w:rFonts w:eastAsiaTheme="minorHAnsi"/>
          <w:b/>
          <w:sz w:val="22"/>
          <w:szCs w:val="22"/>
          <w:lang w:val="en-GB"/>
        </w:rPr>
        <w:t>USD 1</w:t>
      </w:r>
    </w:p>
    <w:p w14:paraId="096AE699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651D204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C500E">
        <w:rPr>
          <w:rFonts w:eastAsiaTheme="minorHAnsi"/>
          <w:lang w:val="en-GB"/>
        </w:rPr>
        <w:t>Notes:</w:t>
      </w:r>
    </w:p>
    <w:p w14:paraId="296CF498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53F0327A" w14:textId="77777777" w:rsidR="00AF2ED1" w:rsidRPr="000624B4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Payment for transcripts must be made before the transcript can be provided to the requesting party.</w:t>
      </w:r>
    </w:p>
    <w:p w14:paraId="40CD4232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1D7143C5" w14:textId="77777777" w:rsidR="00AF2ED1" w:rsidRPr="000624B4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Transcripts requested on overnight turnaround will be delivered, if paid for, by no later than 2pm UAE time the following day.</w:t>
      </w:r>
    </w:p>
    <w:p w14:paraId="1D419A9C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78D5156E" w14:textId="26FEF2FE" w:rsidR="00AF2ED1" w:rsidRPr="000624B4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A full day’s hearing cannot be transcribed on overnight turnaround without advance notice being given to the DIFC Courts Registry.</w:t>
      </w:r>
    </w:p>
    <w:p w14:paraId="21A41719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F16D08E" w14:textId="77777777" w:rsidR="00AF2ED1" w:rsidRPr="000624B4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Working days for transcription are from Monday to Friday. The weekend falls on Saturday and Sunday.</w:t>
      </w:r>
    </w:p>
    <w:p w14:paraId="194BB373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083010C8" w14:textId="77777777" w:rsidR="00AF2ED1" w:rsidRPr="000624B4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t>A transcript cannot be processed on a weekend or public holiday without at least one week’s notice being given to the DIFC Courts Registry.</w:t>
      </w:r>
    </w:p>
    <w:p w14:paraId="37007F81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9285035" w14:textId="330479A5" w:rsidR="00AF2ED1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0624B4">
        <w:rPr>
          <w:rFonts w:eastAsiaTheme="minorHAnsi"/>
          <w:sz w:val="22"/>
          <w:szCs w:val="22"/>
          <w:lang w:val="en-GB"/>
        </w:rPr>
        <w:lastRenderedPageBreak/>
        <w:t xml:space="preserve">Once a transcript has been drawn up, it will be available to all the parties to a case and will be placed </w:t>
      </w:r>
      <w:r w:rsidR="00BE5FCE">
        <w:rPr>
          <w:rFonts w:eastAsiaTheme="minorHAnsi"/>
          <w:sz w:val="22"/>
          <w:szCs w:val="22"/>
          <w:lang w:val="en-GB"/>
        </w:rPr>
        <w:t>i</w:t>
      </w:r>
      <w:r w:rsidRPr="000624B4">
        <w:rPr>
          <w:rFonts w:eastAsiaTheme="minorHAnsi"/>
          <w:sz w:val="22"/>
          <w:szCs w:val="22"/>
          <w:lang w:val="en-GB"/>
        </w:rPr>
        <w:t xml:space="preserve">n the </w:t>
      </w:r>
      <w:r w:rsidR="00E17619">
        <w:rPr>
          <w:rFonts w:eastAsiaTheme="minorHAnsi"/>
          <w:sz w:val="22"/>
          <w:szCs w:val="22"/>
          <w:lang w:val="en-GB"/>
        </w:rPr>
        <w:t xml:space="preserve">DIFC </w:t>
      </w:r>
      <w:r w:rsidRPr="000624B4">
        <w:rPr>
          <w:rFonts w:eastAsiaTheme="minorHAnsi"/>
          <w:sz w:val="22"/>
          <w:szCs w:val="22"/>
          <w:lang w:val="en-GB"/>
        </w:rPr>
        <w:t>Court</w:t>
      </w:r>
      <w:r w:rsidR="00E17619">
        <w:rPr>
          <w:rFonts w:eastAsiaTheme="minorHAnsi"/>
          <w:sz w:val="22"/>
          <w:szCs w:val="22"/>
          <w:lang w:val="en-GB"/>
        </w:rPr>
        <w:t xml:space="preserve">s </w:t>
      </w:r>
      <w:r w:rsidR="00BE5FCE">
        <w:rPr>
          <w:rFonts w:eastAsiaTheme="minorHAnsi"/>
          <w:sz w:val="22"/>
          <w:szCs w:val="22"/>
          <w:lang w:val="en-GB"/>
        </w:rPr>
        <w:t>eRegistry</w:t>
      </w:r>
      <w:r w:rsidRPr="000624B4">
        <w:rPr>
          <w:rFonts w:eastAsiaTheme="minorHAnsi"/>
          <w:sz w:val="22"/>
          <w:szCs w:val="22"/>
          <w:lang w:val="en-GB"/>
        </w:rPr>
        <w:t>.</w:t>
      </w:r>
    </w:p>
    <w:p w14:paraId="0A99BAA7" w14:textId="77777777" w:rsidR="00AF2ED1" w:rsidRPr="000624B4" w:rsidRDefault="00AF2ED1" w:rsidP="00AF2ED1">
      <w:pPr>
        <w:pStyle w:val="ListParagraph"/>
        <w:rPr>
          <w:rFonts w:eastAsiaTheme="minorHAnsi"/>
          <w:sz w:val="22"/>
          <w:szCs w:val="22"/>
          <w:lang w:val="en-GB"/>
        </w:rPr>
      </w:pPr>
    </w:p>
    <w:p w14:paraId="469A5163" w14:textId="2B2B387B" w:rsidR="00AF2ED1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There is no fee for downloading soft copies of documents via the </w:t>
      </w:r>
      <w:r w:rsidR="00BE5FCE">
        <w:rPr>
          <w:rFonts w:eastAsiaTheme="minorHAnsi"/>
          <w:sz w:val="22"/>
          <w:szCs w:val="22"/>
          <w:lang w:val="en-GB"/>
        </w:rPr>
        <w:t>eRegistry</w:t>
      </w:r>
      <w:r>
        <w:rPr>
          <w:rFonts w:eastAsiaTheme="minorHAnsi"/>
          <w:sz w:val="22"/>
          <w:szCs w:val="22"/>
          <w:lang w:val="en-GB"/>
        </w:rPr>
        <w:t xml:space="preserve"> available </w:t>
      </w:r>
      <w:r w:rsidR="00BE5FCE">
        <w:rPr>
          <w:rFonts w:eastAsiaTheme="minorHAnsi"/>
          <w:sz w:val="22"/>
          <w:szCs w:val="22"/>
          <w:lang w:val="en-GB"/>
        </w:rPr>
        <w:t>via</w:t>
      </w:r>
      <w:r>
        <w:rPr>
          <w:rFonts w:eastAsiaTheme="minorHAnsi"/>
          <w:sz w:val="22"/>
          <w:szCs w:val="22"/>
          <w:lang w:val="en-GB"/>
        </w:rPr>
        <w:t xml:space="preserve"> the DIFC Courts’ website.</w:t>
      </w:r>
    </w:p>
    <w:p w14:paraId="29313010" w14:textId="77777777" w:rsidR="00AF2ED1" w:rsidRPr="000624B4" w:rsidRDefault="00AF2ED1" w:rsidP="00AF2ED1">
      <w:pPr>
        <w:pStyle w:val="ListParagraph"/>
        <w:rPr>
          <w:rFonts w:eastAsiaTheme="minorHAnsi"/>
          <w:sz w:val="22"/>
          <w:szCs w:val="22"/>
          <w:lang w:val="en-GB"/>
        </w:rPr>
      </w:pPr>
    </w:p>
    <w:p w14:paraId="5F0D9B45" w14:textId="77777777" w:rsidR="00AF2ED1" w:rsidRPr="000624B4" w:rsidRDefault="00AF2ED1" w:rsidP="00AF2E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The above fee for photocopies also applies to photocopies of documents from the DIFC Courts library </w:t>
      </w:r>
      <w:r w:rsidRPr="00543209">
        <w:rPr>
          <w:rFonts w:eastAsiaTheme="minorHAnsi"/>
          <w:sz w:val="22"/>
          <w:szCs w:val="22"/>
          <w:lang w:val="en-GB"/>
        </w:rPr>
        <w:t>and documents to be printed by the Court at the request of the parties</w:t>
      </w:r>
      <w:r>
        <w:rPr>
          <w:rFonts w:eastAsiaTheme="minorHAnsi"/>
          <w:sz w:val="22"/>
          <w:szCs w:val="22"/>
          <w:lang w:val="en-GB"/>
        </w:rPr>
        <w:t>.</w:t>
      </w:r>
    </w:p>
    <w:p w14:paraId="280A8E85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en-GB"/>
        </w:rPr>
      </w:pPr>
    </w:p>
    <w:p w14:paraId="380A3FBC" w14:textId="77777777" w:rsidR="00AF2ED1" w:rsidRPr="00543209" w:rsidRDefault="005B55FB" w:rsidP="00AF2ED1">
      <w:pPr>
        <w:autoSpaceDE w:val="0"/>
        <w:autoSpaceDN w:val="0"/>
        <w:adjustRightInd w:val="0"/>
        <w:rPr>
          <w:rFonts w:eastAsiaTheme="minorHAnsi"/>
          <w:b/>
          <w:u w:val="single"/>
          <w:lang w:val="en-GB"/>
        </w:rPr>
      </w:pPr>
      <w:r>
        <w:rPr>
          <w:rFonts w:eastAsiaTheme="minorHAnsi"/>
          <w:b/>
          <w:u w:val="single"/>
          <w:lang w:val="en-GB"/>
        </w:rPr>
        <w:t>X</w:t>
      </w:r>
      <w:r w:rsidR="00AF2ED1" w:rsidRPr="00543209">
        <w:rPr>
          <w:rFonts w:eastAsiaTheme="minorHAnsi"/>
          <w:b/>
          <w:u w:val="single"/>
          <w:lang w:val="en-GB"/>
        </w:rPr>
        <w:t>. General Information</w:t>
      </w:r>
    </w:p>
    <w:p w14:paraId="7C3BEAB5" w14:textId="77777777" w:rsidR="00AF2ED1" w:rsidRPr="006C500E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29A956A" w14:textId="3EDFBBD9" w:rsidR="00AF2ED1" w:rsidRPr="00A94EA9" w:rsidRDefault="00AF2ED1" w:rsidP="00A94EA9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E17619">
        <w:rPr>
          <w:rFonts w:eastAsiaTheme="minorHAnsi"/>
          <w:sz w:val="22"/>
          <w:szCs w:val="22"/>
          <w:lang w:val="en-GB"/>
        </w:rPr>
        <w:t xml:space="preserve">All of the above mentioned fees are payable in </w:t>
      </w:r>
      <w:r w:rsidR="00E17619" w:rsidRPr="00E17619">
        <w:rPr>
          <w:rFonts w:eastAsiaTheme="minorHAnsi"/>
          <w:sz w:val="22"/>
          <w:szCs w:val="22"/>
          <w:lang w:val="en-GB"/>
        </w:rPr>
        <w:t xml:space="preserve">UAE Dirhams </w:t>
      </w:r>
      <w:r w:rsidRPr="00E17619">
        <w:rPr>
          <w:rFonts w:eastAsiaTheme="minorHAnsi"/>
          <w:sz w:val="22"/>
          <w:szCs w:val="22"/>
          <w:lang w:val="en-GB"/>
        </w:rPr>
        <w:t>or their equivalent in U</w:t>
      </w:r>
      <w:r w:rsidR="00E17619" w:rsidRPr="00E17619">
        <w:rPr>
          <w:rFonts w:eastAsiaTheme="minorHAnsi"/>
          <w:sz w:val="22"/>
          <w:szCs w:val="22"/>
          <w:lang w:val="en-GB"/>
        </w:rPr>
        <w:t>nited States Dollars</w:t>
      </w:r>
      <w:r w:rsidRPr="00A94EA9">
        <w:rPr>
          <w:rFonts w:eastAsiaTheme="minorHAnsi"/>
          <w:sz w:val="22"/>
          <w:szCs w:val="22"/>
          <w:lang w:val="en-GB"/>
        </w:rPr>
        <w:t xml:space="preserve"> (at the conversion rates of US$1:AED3.675</w:t>
      </w:r>
      <w:r w:rsidR="00E17619">
        <w:rPr>
          <w:rFonts w:eastAsiaTheme="minorHAnsi"/>
          <w:sz w:val="22"/>
          <w:szCs w:val="22"/>
          <w:lang w:val="en-GB"/>
        </w:rPr>
        <w:t xml:space="preserve"> or </w:t>
      </w:r>
      <w:r w:rsidRPr="00A94EA9">
        <w:rPr>
          <w:rFonts w:eastAsiaTheme="minorHAnsi"/>
          <w:sz w:val="22"/>
          <w:szCs w:val="22"/>
          <w:lang w:val="en-GB"/>
        </w:rPr>
        <w:t xml:space="preserve">as </w:t>
      </w:r>
      <w:r w:rsidR="00E17619">
        <w:rPr>
          <w:rFonts w:eastAsiaTheme="minorHAnsi"/>
          <w:sz w:val="22"/>
          <w:szCs w:val="22"/>
          <w:lang w:val="en-GB"/>
        </w:rPr>
        <w:t xml:space="preserve">otherwise </w:t>
      </w:r>
      <w:r w:rsidRPr="00A94EA9">
        <w:rPr>
          <w:rFonts w:eastAsiaTheme="minorHAnsi"/>
          <w:sz w:val="22"/>
          <w:szCs w:val="22"/>
          <w:lang w:val="en-GB"/>
        </w:rPr>
        <w:t>determined by the DIFC Courts from time to time</w:t>
      </w:r>
      <w:r w:rsidR="00E17619">
        <w:rPr>
          <w:rFonts w:eastAsiaTheme="minorHAnsi"/>
          <w:sz w:val="22"/>
          <w:szCs w:val="22"/>
          <w:lang w:val="en-GB"/>
        </w:rPr>
        <w:t>)</w:t>
      </w:r>
      <w:r w:rsidRPr="00A94EA9">
        <w:rPr>
          <w:rFonts w:eastAsiaTheme="minorHAnsi"/>
          <w:sz w:val="22"/>
          <w:szCs w:val="22"/>
          <w:lang w:val="en-GB"/>
        </w:rPr>
        <w:t>.</w:t>
      </w:r>
    </w:p>
    <w:p w14:paraId="1F62CDEA" w14:textId="77777777" w:rsidR="00AF2ED1" w:rsidRPr="00543209" w:rsidRDefault="00AF2ED1" w:rsidP="00AF2ED1">
      <w:pPr>
        <w:pStyle w:val="ListParagraph"/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C824BA6" w14:textId="77777777" w:rsidR="00AF2ED1" w:rsidRDefault="00AF2ED1" w:rsidP="00AF2ED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543209">
        <w:rPr>
          <w:rFonts w:eastAsiaTheme="minorHAnsi"/>
          <w:sz w:val="22"/>
          <w:szCs w:val="22"/>
          <w:lang w:val="en-GB"/>
        </w:rPr>
        <w:t>Payments may be made by using the Courts’ e-payment facility or alternatively by registering your law firm with the Courts’ credit facility. Payments can also be made by wire transfer or in person in cash or cheque.</w:t>
      </w:r>
    </w:p>
    <w:p w14:paraId="1D9CD747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24FB8C92" w14:textId="77777777" w:rsidR="00AF2ED1" w:rsidRDefault="00AF2ED1" w:rsidP="00AF2ED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543209">
        <w:rPr>
          <w:rFonts w:eastAsiaTheme="minorHAnsi"/>
          <w:sz w:val="22"/>
          <w:szCs w:val="22"/>
          <w:lang w:val="en-GB"/>
        </w:rPr>
        <w:t>In an effort to promote the most efficient handling of cases and allocation of resources, and in line with the DIFC Courts’ paperless initiative, parties are encouraged to use the DIFC Courts’ e-filing facility for the filing of court documents.</w:t>
      </w:r>
    </w:p>
    <w:p w14:paraId="614C8558" w14:textId="77777777" w:rsidR="00AF2ED1" w:rsidRPr="00543209" w:rsidRDefault="00AF2ED1" w:rsidP="00AF2ED1">
      <w:pPr>
        <w:pStyle w:val="ListParagraph"/>
        <w:rPr>
          <w:rFonts w:eastAsiaTheme="minorHAnsi"/>
          <w:sz w:val="22"/>
          <w:szCs w:val="22"/>
          <w:lang w:val="en-GB"/>
        </w:rPr>
      </w:pPr>
    </w:p>
    <w:p w14:paraId="4FA465AC" w14:textId="77777777" w:rsidR="00AF2ED1" w:rsidRDefault="00AF2ED1" w:rsidP="00AF2ED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 w:rsidRPr="00543209">
        <w:rPr>
          <w:rFonts w:eastAsiaTheme="minorHAnsi"/>
          <w:sz w:val="22"/>
          <w:szCs w:val="22"/>
          <w:lang w:val="en-GB"/>
        </w:rPr>
        <w:t>Please note that a 40% surcharge will be added to the applicable fees for any document filed with the Registry for the Court of First Instance or Court of Appeal by means other than the e-filing facility.</w:t>
      </w:r>
    </w:p>
    <w:p w14:paraId="70DD561E" w14:textId="77777777" w:rsidR="00AF2ED1" w:rsidRPr="00543209" w:rsidRDefault="00AF2ED1" w:rsidP="00AF2ED1">
      <w:pPr>
        <w:pStyle w:val="ListParagraph"/>
        <w:rPr>
          <w:rFonts w:eastAsiaTheme="minorHAnsi"/>
          <w:sz w:val="22"/>
          <w:szCs w:val="22"/>
          <w:lang w:val="en-GB"/>
        </w:rPr>
      </w:pPr>
    </w:p>
    <w:p w14:paraId="763DA68B" w14:textId="77777777" w:rsidR="00AF2ED1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 xml:space="preserve">For further information, please visit our website </w:t>
      </w:r>
      <w:hyperlink r:id="rId8" w:history="1">
        <w:r w:rsidRPr="008A6264">
          <w:rPr>
            <w:rStyle w:val="Hyperlink"/>
            <w:rFonts w:eastAsiaTheme="minorHAnsi"/>
            <w:sz w:val="22"/>
            <w:szCs w:val="22"/>
            <w:lang w:val="en-GB"/>
          </w:rPr>
          <w:t>www.difccourts.ae</w:t>
        </w:r>
      </w:hyperlink>
      <w:r>
        <w:rPr>
          <w:rFonts w:eastAsiaTheme="minorHAnsi"/>
          <w:sz w:val="22"/>
          <w:szCs w:val="22"/>
          <w:lang w:val="en-GB"/>
        </w:rPr>
        <w:t xml:space="preserve"> or contact the Registry via telephone: +971 4 427 3333 or via email: </w:t>
      </w:r>
      <w:hyperlink r:id="rId9" w:history="1">
        <w:r w:rsidRPr="008A6264">
          <w:rPr>
            <w:rStyle w:val="Hyperlink"/>
            <w:rFonts w:eastAsiaTheme="minorHAnsi"/>
            <w:sz w:val="22"/>
            <w:szCs w:val="22"/>
            <w:lang w:val="en-GB"/>
          </w:rPr>
          <w:t>registry@difccourts.ae</w:t>
        </w:r>
      </w:hyperlink>
    </w:p>
    <w:p w14:paraId="362B2732" w14:textId="77777777" w:rsidR="00AF2ED1" w:rsidRPr="00543209" w:rsidRDefault="00AF2ED1" w:rsidP="00AF2ED1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/>
        </w:rPr>
      </w:pPr>
    </w:p>
    <w:p w14:paraId="308B7704" w14:textId="77777777" w:rsidR="00AF2ED1" w:rsidRPr="0045526D" w:rsidRDefault="00AF2ED1" w:rsidP="0045526D">
      <w:pPr>
        <w:jc w:val="both"/>
        <w:rPr>
          <w:b/>
          <w:bCs/>
        </w:rPr>
      </w:pPr>
    </w:p>
    <w:sectPr w:rsidR="00AF2ED1" w:rsidRPr="0045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F9835" w14:textId="77777777" w:rsidR="003177B0" w:rsidRDefault="003177B0" w:rsidP="005D4829">
      <w:r>
        <w:separator/>
      </w:r>
    </w:p>
  </w:endnote>
  <w:endnote w:type="continuationSeparator" w:id="0">
    <w:p w14:paraId="28D1A59B" w14:textId="77777777" w:rsidR="003177B0" w:rsidRDefault="003177B0" w:rsidP="005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11651" w14:textId="77777777" w:rsidR="003177B0" w:rsidRDefault="003177B0" w:rsidP="005D4829">
      <w:r>
        <w:separator/>
      </w:r>
    </w:p>
  </w:footnote>
  <w:footnote w:type="continuationSeparator" w:id="0">
    <w:p w14:paraId="0620A472" w14:textId="77777777" w:rsidR="003177B0" w:rsidRDefault="003177B0" w:rsidP="005D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E1F"/>
    <w:multiLevelType w:val="hybridMultilevel"/>
    <w:tmpl w:val="219C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751B"/>
    <w:multiLevelType w:val="hybridMultilevel"/>
    <w:tmpl w:val="9BA48B80"/>
    <w:lvl w:ilvl="0" w:tplc="67A0BB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717E"/>
    <w:multiLevelType w:val="hybridMultilevel"/>
    <w:tmpl w:val="59EE70BA"/>
    <w:lvl w:ilvl="0" w:tplc="956241F6">
      <w:numFmt w:val="bullet"/>
      <w:lvlText w:val="•"/>
      <w:lvlJc w:val="left"/>
      <w:pPr>
        <w:ind w:left="720" w:hanging="360"/>
      </w:pPr>
      <w:rPr>
        <w:rFonts w:ascii="FuturaT-Light" w:eastAsiaTheme="minorHAnsi" w:hAnsi="FuturaT-Light" w:cs="Futura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7179"/>
    <w:multiLevelType w:val="hybridMultilevel"/>
    <w:tmpl w:val="0FAC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5FE6"/>
    <w:multiLevelType w:val="hybridMultilevel"/>
    <w:tmpl w:val="82E8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D2"/>
    <w:multiLevelType w:val="hybridMultilevel"/>
    <w:tmpl w:val="B8CE506C"/>
    <w:lvl w:ilvl="0" w:tplc="956241F6">
      <w:numFmt w:val="bullet"/>
      <w:lvlText w:val="•"/>
      <w:lvlJc w:val="left"/>
      <w:pPr>
        <w:ind w:left="720" w:hanging="360"/>
      </w:pPr>
      <w:rPr>
        <w:rFonts w:ascii="FuturaT-Light" w:eastAsiaTheme="minorHAnsi" w:hAnsi="FuturaT-Light" w:cs="Futura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657FE"/>
    <w:multiLevelType w:val="hybridMultilevel"/>
    <w:tmpl w:val="117AC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10E"/>
    <w:multiLevelType w:val="hybridMultilevel"/>
    <w:tmpl w:val="0B8C7DC8"/>
    <w:lvl w:ilvl="0" w:tplc="956241F6">
      <w:numFmt w:val="bullet"/>
      <w:lvlText w:val="•"/>
      <w:lvlJc w:val="left"/>
      <w:pPr>
        <w:ind w:left="720" w:hanging="360"/>
      </w:pPr>
      <w:rPr>
        <w:rFonts w:ascii="FuturaT-Light" w:eastAsiaTheme="minorHAnsi" w:hAnsi="FuturaT-Light" w:cs="Futura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19B6"/>
    <w:multiLevelType w:val="hybridMultilevel"/>
    <w:tmpl w:val="547C76E0"/>
    <w:lvl w:ilvl="0" w:tplc="E2FC7F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407C2"/>
    <w:multiLevelType w:val="hybridMultilevel"/>
    <w:tmpl w:val="BDC499BC"/>
    <w:lvl w:ilvl="0" w:tplc="956241F6">
      <w:numFmt w:val="bullet"/>
      <w:lvlText w:val="•"/>
      <w:lvlJc w:val="left"/>
      <w:pPr>
        <w:ind w:left="720" w:hanging="360"/>
      </w:pPr>
      <w:rPr>
        <w:rFonts w:ascii="FuturaT-Light" w:eastAsiaTheme="minorHAnsi" w:hAnsi="FuturaT-Light" w:cs="Futura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41D9"/>
    <w:multiLevelType w:val="hybridMultilevel"/>
    <w:tmpl w:val="EDCAF2DE"/>
    <w:lvl w:ilvl="0" w:tplc="AF28FE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6371B2"/>
    <w:multiLevelType w:val="hybridMultilevel"/>
    <w:tmpl w:val="A518FCC6"/>
    <w:lvl w:ilvl="0" w:tplc="B22AA8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858BA"/>
    <w:multiLevelType w:val="hybridMultilevel"/>
    <w:tmpl w:val="7F52E360"/>
    <w:lvl w:ilvl="0" w:tplc="E2FC7F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F1E789A">
      <w:start w:val="3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4FF7"/>
    <w:multiLevelType w:val="hybridMultilevel"/>
    <w:tmpl w:val="14BCAD0A"/>
    <w:lvl w:ilvl="0" w:tplc="E2FC7F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420F0"/>
    <w:multiLevelType w:val="hybridMultilevel"/>
    <w:tmpl w:val="2F00962A"/>
    <w:lvl w:ilvl="0" w:tplc="A1F253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A7AAB"/>
    <w:multiLevelType w:val="hybridMultilevel"/>
    <w:tmpl w:val="8DDEE286"/>
    <w:lvl w:ilvl="0" w:tplc="956241F6">
      <w:numFmt w:val="bullet"/>
      <w:lvlText w:val="•"/>
      <w:lvlJc w:val="left"/>
      <w:pPr>
        <w:ind w:left="720" w:hanging="360"/>
      </w:pPr>
      <w:rPr>
        <w:rFonts w:ascii="FuturaT-Light" w:eastAsiaTheme="minorHAnsi" w:hAnsi="FuturaT-Light" w:cs="Futura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451A4"/>
    <w:multiLevelType w:val="hybridMultilevel"/>
    <w:tmpl w:val="AA82ABB2"/>
    <w:lvl w:ilvl="0" w:tplc="956241F6">
      <w:numFmt w:val="bullet"/>
      <w:lvlText w:val="•"/>
      <w:lvlJc w:val="left"/>
      <w:pPr>
        <w:ind w:left="720" w:hanging="360"/>
      </w:pPr>
      <w:rPr>
        <w:rFonts w:ascii="FuturaT-Light" w:eastAsiaTheme="minorHAnsi" w:hAnsi="FuturaT-Light" w:cs="Futura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10"/>
  </w:num>
  <w:num w:numId="9">
    <w:abstractNumId w:val="0"/>
  </w:num>
  <w:num w:numId="10">
    <w:abstractNumId w:val="15"/>
  </w:num>
  <w:num w:numId="11">
    <w:abstractNumId w:val="16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74"/>
    <w:rsid w:val="000020D8"/>
    <w:rsid w:val="000049C5"/>
    <w:rsid w:val="00005DFB"/>
    <w:rsid w:val="000316E4"/>
    <w:rsid w:val="00037C26"/>
    <w:rsid w:val="00041762"/>
    <w:rsid w:val="00050958"/>
    <w:rsid w:val="00055E7D"/>
    <w:rsid w:val="00082C99"/>
    <w:rsid w:val="00095C54"/>
    <w:rsid w:val="00096B55"/>
    <w:rsid w:val="000C00FA"/>
    <w:rsid w:val="000C067B"/>
    <w:rsid w:val="000D057F"/>
    <w:rsid w:val="000E5893"/>
    <w:rsid w:val="000F432F"/>
    <w:rsid w:val="00105575"/>
    <w:rsid w:val="00106AFB"/>
    <w:rsid w:val="001130DC"/>
    <w:rsid w:val="00125117"/>
    <w:rsid w:val="00140951"/>
    <w:rsid w:val="00151063"/>
    <w:rsid w:val="00161C5E"/>
    <w:rsid w:val="00164153"/>
    <w:rsid w:val="00165B66"/>
    <w:rsid w:val="00177373"/>
    <w:rsid w:val="001775E7"/>
    <w:rsid w:val="001A7766"/>
    <w:rsid w:val="001C4B4E"/>
    <w:rsid w:val="001E5609"/>
    <w:rsid w:val="001E7A5E"/>
    <w:rsid w:val="001F3C96"/>
    <w:rsid w:val="002101E5"/>
    <w:rsid w:val="002223AB"/>
    <w:rsid w:val="002303FE"/>
    <w:rsid w:val="002350BF"/>
    <w:rsid w:val="00257023"/>
    <w:rsid w:val="0027488B"/>
    <w:rsid w:val="00296D50"/>
    <w:rsid w:val="002A4E70"/>
    <w:rsid w:val="002B60B0"/>
    <w:rsid w:val="002C2138"/>
    <w:rsid w:val="002C4D2F"/>
    <w:rsid w:val="002C4D81"/>
    <w:rsid w:val="002D2C80"/>
    <w:rsid w:val="00313A82"/>
    <w:rsid w:val="003162DA"/>
    <w:rsid w:val="003177B0"/>
    <w:rsid w:val="003230E1"/>
    <w:rsid w:val="003257E9"/>
    <w:rsid w:val="00340A29"/>
    <w:rsid w:val="00351B5B"/>
    <w:rsid w:val="00355B25"/>
    <w:rsid w:val="00356D93"/>
    <w:rsid w:val="00370373"/>
    <w:rsid w:val="003B1A05"/>
    <w:rsid w:val="003B44D2"/>
    <w:rsid w:val="003B69D8"/>
    <w:rsid w:val="003B735D"/>
    <w:rsid w:val="003E0BD0"/>
    <w:rsid w:val="003E52BE"/>
    <w:rsid w:val="003E537A"/>
    <w:rsid w:val="003E5402"/>
    <w:rsid w:val="00403756"/>
    <w:rsid w:val="00405583"/>
    <w:rsid w:val="00420FC8"/>
    <w:rsid w:val="00425AD1"/>
    <w:rsid w:val="0042786D"/>
    <w:rsid w:val="004330F5"/>
    <w:rsid w:val="00440F22"/>
    <w:rsid w:val="0045526D"/>
    <w:rsid w:val="0045557F"/>
    <w:rsid w:val="00464E7B"/>
    <w:rsid w:val="00472590"/>
    <w:rsid w:val="00484EAA"/>
    <w:rsid w:val="004A187B"/>
    <w:rsid w:val="004A4FA1"/>
    <w:rsid w:val="004B029F"/>
    <w:rsid w:val="004B5138"/>
    <w:rsid w:val="004B5800"/>
    <w:rsid w:val="004C0FE5"/>
    <w:rsid w:val="004D3B48"/>
    <w:rsid w:val="004E73C7"/>
    <w:rsid w:val="004F49E8"/>
    <w:rsid w:val="00507990"/>
    <w:rsid w:val="00521C31"/>
    <w:rsid w:val="00551C43"/>
    <w:rsid w:val="00552F2E"/>
    <w:rsid w:val="00557E4C"/>
    <w:rsid w:val="00561732"/>
    <w:rsid w:val="00563F0B"/>
    <w:rsid w:val="00565A7F"/>
    <w:rsid w:val="0057600B"/>
    <w:rsid w:val="0058326F"/>
    <w:rsid w:val="00583400"/>
    <w:rsid w:val="005A2874"/>
    <w:rsid w:val="005A5202"/>
    <w:rsid w:val="005B55FB"/>
    <w:rsid w:val="005B7C10"/>
    <w:rsid w:val="005C0A27"/>
    <w:rsid w:val="005C4CE9"/>
    <w:rsid w:val="005D4829"/>
    <w:rsid w:val="005D5AC6"/>
    <w:rsid w:val="005E181F"/>
    <w:rsid w:val="005F2521"/>
    <w:rsid w:val="00631731"/>
    <w:rsid w:val="00636EE0"/>
    <w:rsid w:val="006468E9"/>
    <w:rsid w:val="00646EAF"/>
    <w:rsid w:val="0066157F"/>
    <w:rsid w:val="00665858"/>
    <w:rsid w:val="006659B7"/>
    <w:rsid w:val="00671678"/>
    <w:rsid w:val="00675BC4"/>
    <w:rsid w:val="006A6EF7"/>
    <w:rsid w:val="006B3C9A"/>
    <w:rsid w:val="006B3FAD"/>
    <w:rsid w:val="006B7EF4"/>
    <w:rsid w:val="006C3D30"/>
    <w:rsid w:val="0070503D"/>
    <w:rsid w:val="00712501"/>
    <w:rsid w:val="00734A60"/>
    <w:rsid w:val="00761751"/>
    <w:rsid w:val="007E71BD"/>
    <w:rsid w:val="007F0A99"/>
    <w:rsid w:val="007F44D9"/>
    <w:rsid w:val="007F69F1"/>
    <w:rsid w:val="008007AB"/>
    <w:rsid w:val="00812028"/>
    <w:rsid w:val="00834AE7"/>
    <w:rsid w:val="0084704E"/>
    <w:rsid w:val="00857235"/>
    <w:rsid w:val="00857301"/>
    <w:rsid w:val="0086285C"/>
    <w:rsid w:val="00870EF7"/>
    <w:rsid w:val="0087317F"/>
    <w:rsid w:val="00890291"/>
    <w:rsid w:val="008B5B89"/>
    <w:rsid w:val="008B670D"/>
    <w:rsid w:val="008E1219"/>
    <w:rsid w:val="009025FC"/>
    <w:rsid w:val="009071B2"/>
    <w:rsid w:val="00910A79"/>
    <w:rsid w:val="009170FA"/>
    <w:rsid w:val="00924E5D"/>
    <w:rsid w:val="00933EBA"/>
    <w:rsid w:val="00950E5A"/>
    <w:rsid w:val="00952561"/>
    <w:rsid w:val="00955F7F"/>
    <w:rsid w:val="009560ED"/>
    <w:rsid w:val="00971D46"/>
    <w:rsid w:val="009740B1"/>
    <w:rsid w:val="00980753"/>
    <w:rsid w:val="009869DC"/>
    <w:rsid w:val="00986CF2"/>
    <w:rsid w:val="0099750A"/>
    <w:rsid w:val="009A3362"/>
    <w:rsid w:val="009C78B1"/>
    <w:rsid w:val="009D3511"/>
    <w:rsid w:val="00A13755"/>
    <w:rsid w:val="00A17B4D"/>
    <w:rsid w:val="00A233D2"/>
    <w:rsid w:val="00A261BD"/>
    <w:rsid w:val="00A36FB2"/>
    <w:rsid w:val="00A42989"/>
    <w:rsid w:val="00A522EC"/>
    <w:rsid w:val="00A94EA9"/>
    <w:rsid w:val="00A965A4"/>
    <w:rsid w:val="00AA58DA"/>
    <w:rsid w:val="00AB6227"/>
    <w:rsid w:val="00AC53D1"/>
    <w:rsid w:val="00AF2B0E"/>
    <w:rsid w:val="00AF2ED1"/>
    <w:rsid w:val="00B11232"/>
    <w:rsid w:val="00B14BFC"/>
    <w:rsid w:val="00B259D9"/>
    <w:rsid w:val="00B31A0E"/>
    <w:rsid w:val="00B335A9"/>
    <w:rsid w:val="00B3632B"/>
    <w:rsid w:val="00B36D17"/>
    <w:rsid w:val="00B52A91"/>
    <w:rsid w:val="00B54BE2"/>
    <w:rsid w:val="00B6737A"/>
    <w:rsid w:val="00B67EAC"/>
    <w:rsid w:val="00B70BB7"/>
    <w:rsid w:val="00B70DE3"/>
    <w:rsid w:val="00B769C1"/>
    <w:rsid w:val="00B90B69"/>
    <w:rsid w:val="00BB5DED"/>
    <w:rsid w:val="00BC677D"/>
    <w:rsid w:val="00BE2AD6"/>
    <w:rsid w:val="00BE5FCE"/>
    <w:rsid w:val="00C104EB"/>
    <w:rsid w:val="00C11B90"/>
    <w:rsid w:val="00C15AA0"/>
    <w:rsid w:val="00C700D0"/>
    <w:rsid w:val="00C85CF6"/>
    <w:rsid w:val="00C8761A"/>
    <w:rsid w:val="00CC5F2C"/>
    <w:rsid w:val="00CD541E"/>
    <w:rsid w:val="00CF7ACE"/>
    <w:rsid w:val="00D00779"/>
    <w:rsid w:val="00D12428"/>
    <w:rsid w:val="00D23A49"/>
    <w:rsid w:val="00D34461"/>
    <w:rsid w:val="00D41CEB"/>
    <w:rsid w:val="00D62578"/>
    <w:rsid w:val="00D71936"/>
    <w:rsid w:val="00D77501"/>
    <w:rsid w:val="00DB7611"/>
    <w:rsid w:val="00DC3A3D"/>
    <w:rsid w:val="00DD2E4B"/>
    <w:rsid w:val="00DF66DB"/>
    <w:rsid w:val="00E03F38"/>
    <w:rsid w:val="00E05C43"/>
    <w:rsid w:val="00E10A69"/>
    <w:rsid w:val="00E17619"/>
    <w:rsid w:val="00E37CF4"/>
    <w:rsid w:val="00E37D9C"/>
    <w:rsid w:val="00E516E5"/>
    <w:rsid w:val="00E53DE0"/>
    <w:rsid w:val="00E62482"/>
    <w:rsid w:val="00E720D1"/>
    <w:rsid w:val="00E7252B"/>
    <w:rsid w:val="00E85407"/>
    <w:rsid w:val="00E96E3C"/>
    <w:rsid w:val="00EA01A9"/>
    <w:rsid w:val="00EA45FF"/>
    <w:rsid w:val="00EB0B56"/>
    <w:rsid w:val="00EB0C86"/>
    <w:rsid w:val="00EB17BD"/>
    <w:rsid w:val="00EB54E5"/>
    <w:rsid w:val="00ED3E88"/>
    <w:rsid w:val="00EE531E"/>
    <w:rsid w:val="00EF2D64"/>
    <w:rsid w:val="00F21449"/>
    <w:rsid w:val="00F25AB1"/>
    <w:rsid w:val="00F35130"/>
    <w:rsid w:val="00F544E9"/>
    <w:rsid w:val="00F615D1"/>
    <w:rsid w:val="00F639A2"/>
    <w:rsid w:val="00F7325A"/>
    <w:rsid w:val="00FD3A0D"/>
    <w:rsid w:val="00FE2AA9"/>
    <w:rsid w:val="00FF0E57"/>
    <w:rsid w:val="00FF1A52"/>
    <w:rsid w:val="00FF1BD6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B6C3"/>
  <w15:docId w15:val="{3A2859EA-0135-48AB-BB4A-A064FC67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D0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8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82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48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2C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1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5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57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C4B4E"/>
    <w:rPr>
      <w:color w:val="0000FF"/>
      <w:u w:val="single"/>
    </w:rPr>
  </w:style>
  <w:style w:type="table" w:styleId="TableGrid">
    <w:name w:val="Table Grid"/>
    <w:basedOn w:val="TableNormal"/>
    <w:uiPriority w:val="59"/>
    <w:rsid w:val="00AF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7E4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57E4C"/>
    <w:rPr>
      <w:b/>
      <w:bCs/>
    </w:rPr>
  </w:style>
  <w:style w:type="character" w:customStyle="1" w:styleId="apple-converted-space">
    <w:name w:val="apple-converted-space"/>
    <w:basedOn w:val="DefaultParagraphFont"/>
    <w:rsid w:val="0055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fccourts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gistry@difccourts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AF55-48D8-4EB8-8F60-FBDBB7D5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Bakirci</dc:creator>
  <cp:lastModifiedBy>Natasha Bakirci</cp:lastModifiedBy>
  <cp:revision>5</cp:revision>
  <cp:lastPrinted>2016-08-07T12:23:00Z</cp:lastPrinted>
  <dcterms:created xsi:type="dcterms:W3CDTF">2016-09-06T07:52:00Z</dcterms:created>
  <dcterms:modified xsi:type="dcterms:W3CDTF">2016-09-06T11:54:00Z</dcterms:modified>
</cp:coreProperties>
</file>